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3117D" w14:textId="1C10C639" w:rsidR="1E6F1F13" w:rsidRDefault="1E6F1F13" w:rsidP="1E6F1F13">
      <w:pPr>
        <w:spacing w:line="240" w:lineRule="auto"/>
        <w:jc w:val="center"/>
        <w:rPr>
          <w:rFonts w:ascii="Arial" w:hAnsi="Arial" w:cs="Arial"/>
          <w:b/>
          <w:bCs/>
          <w:color w:val="096080"/>
          <w:sz w:val="40"/>
          <w:szCs w:val="40"/>
        </w:rPr>
      </w:pPr>
    </w:p>
    <w:p w14:paraId="02CC7054" w14:textId="06114D6F" w:rsidR="00E33608" w:rsidRDefault="725D8372" w:rsidP="00A53E91">
      <w:pPr>
        <w:spacing w:line="240" w:lineRule="auto"/>
        <w:jc w:val="center"/>
        <w:rPr>
          <w:rFonts w:ascii="Arial" w:hAnsi="Arial" w:cs="Arial"/>
          <w:b/>
          <w:bCs/>
          <w:color w:val="096080"/>
          <w:sz w:val="40"/>
          <w:szCs w:val="40"/>
        </w:rPr>
      </w:pPr>
      <w:r w:rsidRPr="428E3552">
        <w:rPr>
          <w:rFonts w:ascii="Arial" w:hAnsi="Arial" w:cs="Arial"/>
          <w:b/>
          <w:bCs/>
          <w:color w:val="096080"/>
          <w:sz w:val="40"/>
          <w:szCs w:val="40"/>
        </w:rPr>
        <w:t>E</w:t>
      </w:r>
      <w:r w:rsidR="342E25B0" w:rsidRPr="428E3552">
        <w:rPr>
          <w:rFonts w:ascii="Arial" w:hAnsi="Arial" w:cs="Arial"/>
          <w:b/>
          <w:bCs/>
          <w:color w:val="096080"/>
          <w:sz w:val="40"/>
          <w:szCs w:val="40"/>
        </w:rPr>
        <w:t>nhanced Direct Enrollment (E</w:t>
      </w:r>
      <w:r w:rsidRPr="428E3552">
        <w:rPr>
          <w:rFonts w:ascii="Arial" w:hAnsi="Arial" w:cs="Arial"/>
          <w:b/>
          <w:bCs/>
          <w:color w:val="096080"/>
          <w:sz w:val="40"/>
          <w:szCs w:val="40"/>
        </w:rPr>
        <w:t>DE</w:t>
      </w:r>
      <w:r w:rsidR="342E25B0" w:rsidRPr="428E3552">
        <w:rPr>
          <w:rFonts w:ascii="Arial" w:hAnsi="Arial" w:cs="Arial"/>
          <w:b/>
          <w:bCs/>
          <w:color w:val="096080"/>
          <w:sz w:val="40"/>
          <w:szCs w:val="40"/>
        </w:rPr>
        <w:t>) Partner</w:t>
      </w:r>
      <w:r w:rsidRPr="428E3552">
        <w:rPr>
          <w:rFonts w:ascii="Arial" w:hAnsi="Arial" w:cs="Arial"/>
          <w:b/>
          <w:bCs/>
          <w:color w:val="096080"/>
          <w:sz w:val="40"/>
          <w:szCs w:val="40"/>
        </w:rPr>
        <w:t xml:space="preserve"> and</w:t>
      </w:r>
      <w:r w:rsidR="40200F20" w:rsidRPr="428E3552">
        <w:rPr>
          <w:rFonts w:ascii="Arial" w:hAnsi="Arial" w:cs="Arial"/>
          <w:b/>
          <w:bCs/>
          <w:color w:val="096080"/>
          <w:sz w:val="40"/>
          <w:szCs w:val="40"/>
        </w:rPr>
        <w:t xml:space="preserve"> </w:t>
      </w:r>
      <w:r w:rsidR="4AC45AD0" w:rsidRPr="428E3552">
        <w:rPr>
          <w:rFonts w:ascii="Arial" w:hAnsi="Arial" w:cs="Arial"/>
          <w:b/>
          <w:bCs/>
          <w:color w:val="096080"/>
          <w:sz w:val="40"/>
          <w:szCs w:val="40"/>
        </w:rPr>
        <w:t xml:space="preserve">Insurance </w:t>
      </w:r>
      <w:r w:rsidR="4594D900" w:rsidRPr="428E3552">
        <w:rPr>
          <w:rFonts w:ascii="Arial" w:hAnsi="Arial" w:cs="Arial"/>
          <w:b/>
          <w:bCs/>
          <w:color w:val="096080"/>
          <w:sz w:val="40"/>
          <w:szCs w:val="40"/>
        </w:rPr>
        <w:t>C</w:t>
      </w:r>
      <w:r w:rsidR="4AC45AD0" w:rsidRPr="428E3552">
        <w:rPr>
          <w:rFonts w:ascii="Arial" w:hAnsi="Arial" w:cs="Arial"/>
          <w:b/>
          <w:bCs/>
          <w:color w:val="096080"/>
          <w:sz w:val="40"/>
          <w:szCs w:val="40"/>
        </w:rPr>
        <w:t>ompany</w:t>
      </w:r>
      <w:r w:rsidR="4373BEA4" w:rsidRPr="428E3552">
        <w:rPr>
          <w:rFonts w:ascii="Arial" w:hAnsi="Arial" w:cs="Arial"/>
          <w:b/>
          <w:bCs/>
          <w:color w:val="096080"/>
          <w:sz w:val="40"/>
          <w:szCs w:val="40"/>
        </w:rPr>
        <w:t xml:space="preserve"> Policies</w:t>
      </w:r>
    </w:p>
    <w:p w14:paraId="48FC50EE" w14:textId="77777777" w:rsidR="00411C3E" w:rsidRPr="00411C3E" w:rsidRDefault="00411C3E" w:rsidP="00A53E91">
      <w:pPr>
        <w:spacing w:line="240" w:lineRule="auto"/>
        <w:rPr>
          <w:rFonts w:ascii="Arial" w:hAnsi="Arial" w:cs="Arial"/>
          <w:b/>
          <w:bCs/>
          <w:color w:val="096080"/>
        </w:rPr>
      </w:pPr>
    </w:p>
    <w:p w14:paraId="77578324" w14:textId="085B5A97" w:rsidR="00DE65C9" w:rsidRPr="00E942B4" w:rsidRDefault="00DE65C9" w:rsidP="18F4D121">
      <w:pPr>
        <w:pStyle w:val="NoSpacing"/>
        <w:spacing w:before="0" w:after="240"/>
        <w:jc w:val="center"/>
        <w:rPr>
          <w:rFonts w:ascii="Arial" w:hAnsi="Arial"/>
          <w:color w:val="096080"/>
          <w:sz w:val="28"/>
          <w:szCs w:val="28"/>
        </w:rPr>
      </w:pPr>
      <w:r w:rsidRPr="18F4D121">
        <w:rPr>
          <w:rFonts w:ascii="Arial" w:hAnsi="Arial"/>
          <w:b/>
          <w:bCs/>
          <w:color w:val="096080"/>
          <w:sz w:val="28"/>
          <w:szCs w:val="28"/>
        </w:rPr>
        <w:t>Table of Contents</w:t>
      </w:r>
      <w:bookmarkStart w:id="0" w:name="_Toc119662677"/>
      <w:bookmarkStart w:id="1" w:name="_Toc119595851"/>
      <w:bookmarkStart w:id="2" w:name="_Toc119577129"/>
      <w:bookmarkStart w:id="3" w:name="_Toc120610872"/>
      <w:bookmarkStart w:id="4" w:name="_Toc120611307"/>
      <w:bookmarkStart w:id="5" w:name="_Toc120626983"/>
      <w:bookmarkStart w:id="6" w:name="_Toc120699574"/>
      <w:bookmarkStart w:id="7" w:name="_Toc120707374"/>
      <w:bookmarkStart w:id="8" w:name="_Toc120713503"/>
      <w:bookmarkStart w:id="9" w:name="_Toc120787983"/>
      <w:bookmarkStart w:id="10" w:name="_Toc120789587"/>
      <w:bookmarkStart w:id="11" w:name="_Toc120789638"/>
      <w:bookmarkStart w:id="12" w:name="_Toc120789721"/>
      <w:bookmarkEnd w:id="0"/>
      <w:bookmarkEnd w:id="1"/>
      <w:bookmarkEnd w:id="2"/>
      <w:bookmarkEnd w:id="3"/>
      <w:bookmarkEnd w:id="4"/>
      <w:bookmarkEnd w:id="5"/>
      <w:bookmarkEnd w:id="6"/>
      <w:bookmarkEnd w:id="7"/>
      <w:bookmarkEnd w:id="8"/>
      <w:bookmarkEnd w:id="9"/>
      <w:bookmarkEnd w:id="10"/>
      <w:bookmarkEnd w:id="11"/>
      <w:bookmarkEnd w:id="12"/>
    </w:p>
    <w:bookmarkStart w:id="13" w:name="_Toc138950382" w:displacedByCustomXml="next"/>
    <w:bookmarkStart w:id="14" w:name="_Toc109659894" w:displacedByCustomXml="next"/>
    <w:sdt>
      <w:sdtPr>
        <w:rPr>
          <w:b w:val="0"/>
          <w:noProof w:val="0"/>
        </w:rPr>
        <w:id w:val="1976303141"/>
        <w:docPartObj>
          <w:docPartGallery w:val="Table of Contents"/>
          <w:docPartUnique/>
        </w:docPartObj>
      </w:sdtPr>
      <w:sdtEndPr/>
      <w:sdtContent>
        <w:p w14:paraId="2D4639FE" w14:textId="10D23ECB" w:rsidR="000910E7" w:rsidRDefault="00BA49DD">
          <w:pPr>
            <w:pStyle w:val="TOC1"/>
            <w:rPr>
              <w:rFonts w:eastAsiaTheme="minorEastAsia"/>
              <w:b w:val="0"/>
              <w:kern w:val="2"/>
              <w:sz w:val="24"/>
              <w:szCs w:val="24"/>
              <w14:ligatures w14:val="standardContextual"/>
            </w:rPr>
          </w:pPr>
          <w:r>
            <w:fldChar w:fldCharType="begin"/>
          </w:r>
          <w:r w:rsidR="00177680">
            <w:instrText>TOC \o "1-3" \z \u \h</w:instrText>
          </w:r>
          <w:r>
            <w:fldChar w:fldCharType="separate"/>
          </w:r>
          <w:hyperlink w:anchor="_Toc209003029" w:history="1">
            <w:r w:rsidR="000910E7" w:rsidRPr="00C8232C">
              <w:rPr>
                <w:rStyle w:val="Hyperlink"/>
              </w:rPr>
              <w:t>1</w:t>
            </w:r>
            <w:r w:rsidR="000910E7">
              <w:rPr>
                <w:rFonts w:eastAsiaTheme="minorEastAsia"/>
                <w:b w:val="0"/>
                <w:kern w:val="2"/>
                <w:sz w:val="24"/>
                <w:szCs w:val="24"/>
                <w14:ligatures w14:val="standardContextual"/>
              </w:rPr>
              <w:tab/>
            </w:r>
            <w:r w:rsidR="000910E7" w:rsidRPr="00C8232C">
              <w:rPr>
                <w:rStyle w:val="Hyperlink"/>
              </w:rPr>
              <w:t>Overview</w:t>
            </w:r>
            <w:r w:rsidR="000910E7">
              <w:rPr>
                <w:webHidden/>
              </w:rPr>
              <w:tab/>
            </w:r>
            <w:r w:rsidR="000910E7">
              <w:rPr>
                <w:webHidden/>
              </w:rPr>
              <w:fldChar w:fldCharType="begin"/>
            </w:r>
            <w:r w:rsidR="000910E7">
              <w:rPr>
                <w:webHidden/>
              </w:rPr>
              <w:instrText xml:space="preserve"> PAGEREF _Toc209003029 \h </w:instrText>
            </w:r>
            <w:r w:rsidR="000910E7">
              <w:rPr>
                <w:webHidden/>
              </w:rPr>
            </w:r>
            <w:r w:rsidR="000910E7">
              <w:rPr>
                <w:webHidden/>
              </w:rPr>
              <w:fldChar w:fldCharType="separate"/>
            </w:r>
            <w:r w:rsidR="00FC0FF7">
              <w:rPr>
                <w:webHidden/>
              </w:rPr>
              <w:t>4</w:t>
            </w:r>
            <w:r w:rsidR="000910E7">
              <w:rPr>
                <w:webHidden/>
              </w:rPr>
              <w:fldChar w:fldCharType="end"/>
            </w:r>
          </w:hyperlink>
        </w:p>
        <w:p w14:paraId="7A2B81D0" w14:textId="29BD86AA" w:rsidR="000910E7" w:rsidRDefault="000910E7">
          <w:pPr>
            <w:pStyle w:val="TOC2"/>
            <w:rPr>
              <w:rFonts w:eastAsiaTheme="minorEastAsia"/>
              <w:noProof/>
              <w:kern w:val="2"/>
              <w:sz w:val="24"/>
              <w:szCs w:val="24"/>
              <w14:ligatures w14:val="standardContextual"/>
            </w:rPr>
          </w:pPr>
          <w:hyperlink w:anchor="_Toc209003030" w:history="1">
            <w:r w:rsidRPr="00C8232C">
              <w:rPr>
                <w:rStyle w:val="Hyperlink"/>
                <w:noProof/>
              </w:rPr>
              <w:t>1.1</w:t>
            </w:r>
            <w:r>
              <w:rPr>
                <w:rFonts w:eastAsiaTheme="minorEastAsia"/>
                <w:noProof/>
                <w:kern w:val="2"/>
                <w:sz w:val="24"/>
                <w:szCs w:val="24"/>
                <w14:ligatures w14:val="standardContextual"/>
              </w:rPr>
              <w:tab/>
            </w:r>
            <w:r w:rsidRPr="00C8232C">
              <w:rPr>
                <w:rStyle w:val="Hyperlink"/>
                <w:noProof/>
              </w:rPr>
              <w:t>Purpose</w:t>
            </w:r>
            <w:r>
              <w:rPr>
                <w:noProof/>
                <w:webHidden/>
              </w:rPr>
              <w:tab/>
            </w:r>
            <w:r>
              <w:rPr>
                <w:noProof/>
                <w:webHidden/>
              </w:rPr>
              <w:fldChar w:fldCharType="begin"/>
            </w:r>
            <w:r>
              <w:rPr>
                <w:noProof/>
                <w:webHidden/>
              </w:rPr>
              <w:instrText xml:space="preserve"> PAGEREF _Toc209003030 \h </w:instrText>
            </w:r>
            <w:r>
              <w:rPr>
                <w:noProof/>
                <w:webHidden/>
              </w:rPr>
            </w:r>
            <w:r>
              <w:rPr>
                <w:noProof/>
                <w:webHidden/>
              </w:rPr>
              <w:fldChar w:fldCharType="separate"/>
            </w:r>
            <w:r w:rsidR="00FC0FF7">
              <w:rPr>
                <w:noProof/>
                <w:webHidden/>
              </w:rPr>
              <w:t>4</w:t>
            </w:r>
            <w:r>
              <w:rPr>
                <w:noProof/>
                <w:webHidden/>
              </w:rPr>
              <w:fldChar w:fldCharType="end"/>
            </w:r>
          </w:hyperlink>
        </w:p>
        <w:p w14:paraId="721FFFC5" w14:textId="5235893E" w:rsidR="000910E7" w:rsidRDefault="000910E7">
          <w:pPr>
            <w:pStyle w:val="TOC2"/>
            <w:rPr>
              <w:rFonts w:eastAsiaTheme="minorEastAsia"/>
              <w:noProof/>
              <w:kern w:val="2"/>
              <w:sz w:val="24"/>
              <w:szCs w:val="24"/>
              <w14:ligatures w14:val="standardContextual"/>
            </w:rPr>
          </w:pPr>
          <w:hyperlink w:anchor="_Toc209003031" w:history="1">
            <w:r w:rsidRPr="00C8232C">
              <w:rPr>
                <w:rStyle w:val="Hyperlink"/>
                <w:noProof/>
              </w:rPr>
              <w:t>1.2</w:t>
            </w:r>
            <w:r>
              <w:rPr>
                <w:rFonts w:eastAsiaTheme="minorEastAsia"/>
                <w:noProof/>
                <w:kern w:val="2"/>
                <w:sz w:val="24"/>
                <w:szCs w:val="24"/>
                <w14:ligatures w14:val="standardContextual"/>
              </w:rPr>
              <w:tab/>
            </w:r>
            <w:r w:rsidRPr="00C8232C">
              <w:rPr>
                <w:rStyle w:val="Hyperlink"/>
                <w:noProof/>
              </w:rPr>
              <w:t>Background</w:t>
            </w:r>
            <w:r>
              <w:rPr>
                <w:noProof/>
                <w:webHidden/>
              </w:rPr>
              <w:tab/>
            </w:r>
            <w:r>
              <w:rPr>
                <w:noProof/>
                <w:webHidden/>
              </w:rPr>
              <w:fldChar w:fldCharType="begin"/>
            </w:r>
            <w:r>
              <w:rPr>
                <w:noProof/>
                <w:webHidden/>
              </w:rPr>
              <w:instrText xml:space="preserve"> PAGEREF _Toc209003031 \h </w:instrText>
            </w:r>
            <w:r>
              <w:rPr>
                <w:noProof/>
                <w:webHidden/>
              </w:rPr>
            </w:r>
            <w:r>
              <w:rPr>
                <w:noProof/>
                <w:webHidden/>
              </w:rPr>
              <w:fldChar w:fldCharType="separate"/>
            </w:r>
            <w:r w:rsidR="00FC0FF7">
              <w:rPr>
                <w:noProof/>
                <w:webHidden/>
              </w:rPr>
              <w:t>4</w:t>
            </w:r>
            <w:r>
              <w:rPr>
                <w:noProof/>
                <w:webHidden/>
              </w:rPr>
              <w:fldChar w:fldCharType="end"/>
            </w:r>
          </w:hyperlink>
        </w:p>
        <w:p w14:paraId="50A42878" w14:textId="04BF858E" w:rsidR="000910E7" w:rsidRDefault="000910E7">
          <w:pPr>
            <w:pStyle w:val="TOC2"/>
            <w:rPr>
              <w:rFonts w:eastAsiaTheme="minorEastAsia"/>
              <w:noProof/>
              <w:kern w:val="2"/>
              <w:sz w:val="24"/>
              <w:szCs w:val="24"/>
              <w14:ligatures w14:val="standardContextual"/>
            </w:rPr>
          </w:pPr>
          <w:hyperlink w:anchor="_Toc209003032" w:history="1">
            <w:r w:rsidRPr="00C8232C">
              <w:rPr>
                <w:rStyle w:val="Hyperlink"/>
                <w:noProof/>
              </w:rPr>
              <w:t>1.3</w:t>
            </w:r>
            <w:r>
              <w:rPr>
                <w:rFonts w:eastAsiaTheme="minorEastAsia"/>
                <w:noProof/>
                <w:kern w:val="2"/>
                <w:sz w:val="24"/>
                <w:szCs w:val="24"/>
                <w14:ligatures w14:val="standardContextual"/>
              </w:rPr>
              <w:tab/>
            </w:r>
            <w:r w:rsidRPr="00C8232C">
              <w:rPr>
                <w:rStyle w:val="Hyperlink"/>
                <w:noProof/>
              </w:rPr>
              <w:t>Key Terms</w:t>
            </w:r>
            <w:r>
              <w:rPr>
                <w:noProof/>
                <w:webHidden/>
              </w:rPr>
              <w:tab/>
            </w:r>
            <w:r>
              <w:rPr>
                <w:noProof/>
                <w:webHidden/>
              </w:rPr>
              <w:fldChar w:fldCharType="begin"/>
            </w:r>
            <w:r>
              <w:rPr>
                <w:noProof/>
                <w:webHidden/>
              </w:rPr>
              <w:instrText xml:space="preserve"> PAGEREF _Toc209003032 \h </w:instrText>
            </w:r>
            <w:r>
              <w:rPr>
                <w:noProof/>
                <w:webHidden/>
              </w:rPr>
            </w:r>
            <w:r>
              <w:rPr>
                <w:noProof/>
                <w:webHidden/>
              </w:rPr>
              <w:fldChar w:fldCharType="separate"/>
            </w:r>
            <w:r w:rsidR="00FC0FF7">
              <w:rPr>
                <w:noProof/>
                <w:webHidden/>
              </w:rPr>
              <w:t>4</w:t>
            </w:r>
            <w:r>
              <w:rPr>
                <w:noProof/>
                <w:webHidden/>
              </w:rPr>
              <w:fldChar w:fldCharType="end"/>
            </w:r>
          </w:hyperlink>
        </w:p>
        <w:p w14:paraId="44B15FD5" w14:textId="5D9883B5" w:rsidR="000910E7" w:rsidRDefault="000910E7">
          <w:pPr>
            <w:pStyle w:val="TOC1"/>
            <w:rPr>
              <w:rFonts w:eastAsiaTheme="minorEastAsia"/>
              <w:b w:val="0"/>
              <w:kern w:val="2"/>
              <w:sz w:val="24"/>
              <w:szCs w:val="24"/>
              <w14:ligatures w14:val="standardContextual"/>
            </w:rPr>
          </w:pPr>
          <w:hyperlink w:anchor="_Toc209003033" w:history="1">
            <w:r w:rsidRPr="00C8232C">
              <w:rPr>
                <w:rStyle w:val="Hyperlink"/>
              </w:rPr>
              <w:t>2</w:t>
            </w:r>
            <w:r>
              <w:rPr>
                <w:rFonts w:eastAsiaTheme="minorEastAsia"/>
                <w:b w:val="0"/>
                <w:kern w:val="2"/>
                <w:sz w:val="24"/>
                <w:szCs w:val="24"/>
                <w14:ligatures w14:val="standardContextual"/>
              </w:rPr>
              <w:tab/>
            </w:r>
            <w:r w:rsidRPr="00C8232C">
              <w:rPr>
                <w:rStyle w:val="Hyperlink"/>
              </w:rPr>
              <w:t>EDE Partner Policies</w:t>
            </w:r>
            <w:r>
              <w:rPr>
                <w:webHidden/>
              </w:rPr>
              <w:tab/>
            </w:r>
            <w:r>
              <w:rPr>
                <w:webHidden/>
              </w:rPr>
              <w:fldChar w:fldCharType="begin"/>
            </w:r>
            <w:r>
              <w:rPr>
                <w:webHidden/>
              </w:rPr>
              <w:instrText xml:space="preserve"> PAGEREF _Toc209003033 \h </w:instrText>
            </w:r>
            <w:r>
              <w:rPr>
                <w:webHidden/>
              </w:rPr>
            </w:r>
            <w:r>
              <w:rPr>
                <w:webHidden/>
              </w:rPr>
              <w:fldChar w:fldCharType="separate"/>
            </w:r>
            <w:r w:rsidR="00FC0FF7">
              <w:rPr>
                <w:webHidden/>
              </w:rPr>
              <w:t>6</w:t>
            </w:r>
            <w:r>
              <w:rPr>
                <w:webHidden/>
              </w:rPr>
              <w:fldChar w:fldCharType="end"/>
            </w:r>
          </w:hyperlink>
        </w:p>
        <w:p w14:paraId="63B638DB" w14:textId="396870A7" w:rsidR="000910E7" w:rsidRDefault="000910E7">
          <w:pPr>
            <w:pStyle w:val="TOC2"/>
            <w:rPr>
              <w:rFonts w:eastAsiaTheme="minorEastAsia"/>
              <w:noProof/>
              <w:kern w:val="2"/>
              <w:sz w:val="24"/>
              <w:szCs w:val="24"/>
              <w14:ligatures w14:val="standardContextual"/>
            </w:rPr>
          </w:pPr>
          <w:hyperlink w:anchor="_Toc209003034" w:history="1">
            <w:r w:rsidRPr="00C8232C">
              <w:rPr>
                <w:rStyle w:val="Hyperlink"/>
                <w:noProof/>
              </w:rPr>
              <w:t>2.1</w:t>
            </w:r>
            <w:r>
              <w:rPr>
                <w:rFonts w:eastAsiaTheme="minorEastAsia"/>
                <w:noProof/>
                <w:kern w:val="2"/>
                <w:sz w:val="24"/>
                <w:szCs w:val="24"/>
                <w14:ligatures w14:val="standardContextual"/>
              </w:rPr>
              <w:tab/>
            </w:r>
            <w:r w:rsidRPr="00C8232C">
              <w:rPr>
                <w:rStyle w:val="Hyperlink"/>
                <w:noProof/>
              </w:rPr>
              <w:t>EDE Partner Overview and Requirements</w:t>
            </w:r>
            <w:r>
              <w:rPr>
                <w:noProof/>
                <w:webHidden/>
              </w:rPr>
              <w:tab/>
            </w:r>
            <w:r>
              <w:rPr>
                <w:noProof/>
                <w:webHidden/>
              </w:rPr>
              <w:fldChar w:fldCharType="begin"/>
            </w:r>
            <w:r>
              <w:rPr>
                <w:noProof/>
                <w:webHidden/>
              </w:rPr>
              <w:instrText xml:space="preserve"> PAGEREF _Toc209003034 \h </w:instrText>
            </w:r>
            <w:r>
              <w:rPr>
                <w:noProof/>
                <w:webHidden/>
              </w:rPr>
            </w:r>
            <w:r>
              <w:rPr>
                <w:noProof/>
                <w:webHidden/>
              </w:rPr>
              <w:fldChar w:fldCharType="separate"/>
            </w:r>
            <w:r w:rsidR="00FC0FF7">
              <w:rPr>
                <w:noProof/>
                <w:webHidden/>
              </w:rPr>
              <w:t>6</w:t>
            </w:r>
            <w:r>
              <w:rPr>
                <w:noProof/>
                <w:webHidden/>
              </w:rPr>
              <w:fldChar w:fldCharType="end"/>
            </w:r>
          </w:hyperlink>
        </w:p>
        <w:p w14:paraId="60B01887" w14:textId="51910267" w:rsidR="000910E7" w:rsidRDefault="000910E7">
          <w:pPr>
            <w:pStyle w:val="TOC3"/>
            <w:rPr>
              <w:rFonts w:eastAsiaTheme="minorEastAsia"/>
              <w:noProof/>
              <w:kern w:val="2"/>
              <w:sz w:val="24"/>
              <w:szCs w:val="24"/>
              <w14:ligatures w14:val="standardContextual"/>
            </w:rPr>
          </w:pPr>
          <w:hyperlink w:anchor="_Toc209003035" w:history="1">
            <w:r w:rsidRPr="00C8232C">
              <w:rPr>
                <w:rStyle w:val="Hyperlink"/>
                <w:noProof/>
              </w:rPr>
              <w:t>2.1.1</w:t>
            </w:r>
            <w:r>
              <w:rPr>
                <w:rFonts w:eastAsiaTheme="minorEastAsia"/>
                <w:noProof/>
                <w:kern w:val="2"/>
                <w:sz w:val="24"/>
                <w:szCs w:val="24"/>
                <w14:ligatures w14:val="standardContextual"/>
              </w:rPr>
              <w:tab/>
            </w:r>
            <w:r w:rsidRPr="00C8232C">
              <w:rPr>
                <w:rStyle w:val="Hyperlink"/>
                <w:noProof/>
              </w:rPr>
              <w:t>EDE Partner Overview</w:t>
            </w:r>
            <w:r>
              <w:rPr>
                <w:noProof/>
                <w:webHidden/>
              </w:rPr>
              <w:tab/>
            </w:r>
            <w:r>
              <w:rPr>
                <w:noProof/>
                <w:webHidden/>
              </w:rPr>
              <w:fldChar w:fldCharType="begin"/>
            </w:r>
            <w:r>
              <w:rPr>
                <w:noProof/>
                <w:webHidden/>
              </w:rPr>
              <w:instrText xml:space="preserve"> PAGEREF _Toc209003035 \h </w:instrText>
            </w:r>
            <w:r>
              <w:rPr>
                <w:noProof/>
                <w:webHidden/>
              </w:rPr>
            </w:r>
            <w:r>
              <w:rPr>
                <w:noProof/>
                <w:webHidden/>
              </w:rPr>
              <w:fldChar w:fldCharType="separate"/>
            </w:r>
            <w:r w:rsidR="00FC0FF7">
              <w:rPr>
                <w:noProof/>
                <w:webHidden/>
              </w:rPr>
              <w:t>6</w:t>
            </w:r>
            <w:r>
              <w:rPr>
                <w:noProof/>
                <w:webHidden/>
              </w:rPr>
              <w:fldChar w:fldCharType="end"/>
            </w:r>
          </w:hyperlink>
        </w:p>
        <w:p w14:paraId="5EA9CD41" w14:textId="3F56C356" w:rsidR="000910E7" w:rsidRDefault="000910E7">
          <w:pPr>
            <w:pStyle w:val="TOC3"/>
            <w:rPr>
              <w:rFonts w:eastAsiaTheme="minorEastAsia"/>
              <w:noProof/>
              <w:kern w:val="2"/>
              <w:sz w:val="24"/>
              <w:szCs w:val="24"/>
              <w14:ligatures w14:val="standardContextual"/>
            </w:rPr>
          </w:pPr>
          <w:hyperlink w:anchor="_Toc209003036" w:history="1">
            <w:r w:rsidRPr="00C8232C">
              <w:rPr>
                <w:rStyle w:val="Hyperlink"/>
                <w:noProof/>
              </w:rPr>
              <w:t>2.1.2</w:t>
            </w:r>
            <w:r>
              <w:rPr>
                <w:rFonts w:eastAsiaTheme="minorEastAsia"/>
                <w:noProof/>
                <w:kern w:val="2"/>
                <w:sz w:val="24"/>
                <w:szCs w:val="24"/>
                <w14:ligatures w14:val="standardContextual"/>
              </w:rPr>
              <w:tab/>
            </w:r>
            <w:r w:rsidRPr="00C8232C">
              <w:rPr>
                <w:rStyle w:val="Hyperlink"/>
                <w:noProof/>
              </w:rPr>
              <w:t>EDE Partner Requirements</w:t>
            </w:r>
            <w:r>
              <w:rPr>
                <w:noProof/>
                <w:webHidden/>
              </w:rPr>
              <w:tab/>
            </w:r>
            <w:r>
              <w:rPr>
                <w:noProof/>
                <w:webHidden/>
              </w:rPr>
              <w:fldChar w:fldCharType="begin"/>
            </w:r>
            <w:r>
              <w:rPr>
                <w:noProof/>
                <w:webHidden/>
              </w:rPr>
              <w:instrText xml:space="preserve"> PAGEREF _Toc209003036 \h </w:instrText>
            </w:r>
            <w:r>
              <w:rPr>
                <w:noProof/>
                <w:webHidden/>
              </w:rPr>
            </w:r>
            <w:r>
              <w:rPr>
                <w:noProof/>
                <w:webHidden/>
              </w:rPr>
              <w:fldChar w:fldCharType="separate"/>
            </w:r>
            <w:r w:rsidR="00FC0FF7">
              <w:rPr>
                <w:noProof/>
                <w:webHidden/>
              </w:rPr>
              <w:t>8</w:t>
            </w:r>
            <w:r>
              <w:rPr>
                <w:noProof/>
                <w:webHidden/>
              </w:rPr>
              <w:fldChar w:fldCharType="end"/>
            </w:r>
          </w:hyperlink>
        </w:p>
        <w:p w14:paraId="33342B21" w14:textId="0D036A7E" w:rsidR="000910E7" w:rsidRDefault="000910E7">
          <w:pPr>
            <w:pStyle w:val="TOC2"/>
            <w:rPr>
              <w:rFonts w:eastAsiaTheme="minorEastAsia"/>
              <w:noProof/>
              <w:kern w:val="2"/>
              <w:sz w:val="24"/>
              <w:szCs w:val="24"/>
              <w14:ligatures w14:val="standardContextual"/>
            </w:rPr>
          </w:pPr>
          <w:hyperlink w:anchor="_Toc209003037" w:history="1">
            <w:r w:rsidRPr="00C8232C">
              <w:rPr>
                <w:rStyle w:val="Hyperlink"/>
                <w:noProof/>
              </w:rPr>
              <w:t>2.2</w:t>
            </w:r>
            <w:r>
              <w:rPr>
                <w:rFonts w:eastAsiaTheme="minorEastAsia"/>
                <w:noProof/>
                <w:kern w:val="2"/>
                <w:sz w:val="24"/>
                <w:szCs w:val="24"/>
                <w14:ligatures w14:val="standardContextual"/>
              </w:rPr>
              <w:tab/>
            </w:r>
            <w:r w:rsidRPr="00C8232C">
              <w:rPr>
                <w:rStyle w:val="Hyperlink"/>
                <w:noProof/>
              </w:rPr>
              <w:t>Initial Application and Certification</w:t>
            </w:r>
            <w:r>
              <w:rPr>
                <w:noProof/>
                <w:webHidden/>
              </w:rPr>
              <w:tab/>
            </w:r>
            <w:r>
              <w:rPr>
                <w:noProof/>
                <w:webHidden/>
              </w:rPr>
              <w:fldChar w:fldCharType="begin"/>
            </w:r>
            <w:r>
              <w:rPr>
                <w:noProof/>
                <w:webHidden/>
              </w:rPr>
              <w:instrText xml:space="preserve"> PAGEREF _Toc209003037 \h </w:instrText>
            </w:r>
            <w:r>
              <w:rPr>
                <w:noProof/>
                <w:webHidden/>
              </w:rPr>
            </w:r>
            <w:r>
              <w:rPr>
                <w:noProof/>
                <w:webHidden/>
              </w:rPr>
              <w:fldChar w:fldCharType="separate"/>
            </w:r>
            <w:r w:rsidR="00FC0FF7">
              <w:rPr>
                <w:noProof/>
                <w:webHidden/>
              </w:rPr>
              <w:t>14</w:t>
            </w:r>
            <w:r>
              <w:rPr>
                <w:noProof/>
                <w:webHidden/>
              </w:rPr>
              <w:fldChar w:fldCharType="end"/>
            </w:r>
          </w:hyperlink>
        </w:p>
        <w:p w14:paraId="736755C5" w14:textId="78C0425E" w:rsidR="000910E7" w:rsidRDefault="000910E7">
          <w:pPr>
            <w:pStyle w:val="TOC3"/>
            <w:rPr>
              <w:rFonts w:eastAsiaTheme="minorEastAsia"/>
              <w:noProof/>
              <w:kern w:val="2"/>
              <w:sz w:val="24"/>
              <w:szCs w:val="24"/>
              <w14:ligatures w14:val="standardContextual"/>
            </w:rPr>
          </w:pPr>
          <w:hyperlink w:anchor="_Toc209003038" w:history="1">
            <w:r w:rsidRPr="00C8232C">
              <w:rPr>
                <w:rStyle w:val="Hyperlink"/>
                <w:noProof/>
              </w:rPr>
              <w:t>2.2.1</w:t>
            </w:r>
            <w:r>
              <w:rPr>
                <w:rFonts w:eastAsiaTheme="minorEastAsia"/>
                <w:noProof/>
                <w:kern w:val="2"/>
                <w:sz w:val="24"/>
                <w:szCs w:val="24"/>
                <w14:ligatures w14:val="standardContextual"/>
              </w:rPr>
              <w:tab/>
            </w:r>
            <w:r w:rsidRPr="00C8232C">
              <w:rPr>
                <w:rStyle w:val="Hyperlink"/>
                <w:noProof/>
              </w:rPr>
              <w:t>EDE Partner Application Release and Acceptance</w:t>
            </w:r>
            <w:r>
              <w:rPr>
                <w:noProof/>
                <w:webHidden/>
              </w:rPr>
              <w:tab/>
            </w:r>
            <w:r>
              <w:rPr>
                <w:noProof/>
                <w:webHidden/>
              </w:rPr>
              <w:fldChar w:fldCharType="begin"/>
            </w:r>
            <w:r>
              <w:rPr>
                <w:noProof/>
                <w:webHidden/>
              </w:rPr>
              <w:instrText xml:space="preserve"> PAGEREF _Toc209003038 \h </w:instrText>
            </w:r>
            <w:r>
              <w:rPr>
                <w:noProof/>
                <w:webHidden/>
              </w:rPr>
            </w:r>
            <w:r>
              <w:rPr>
                <w:noProof/>
                <w:webHidden/>
              </w:rPr>
              <w:fldChar w:fldCharType="separate"/>
            </w:r>
            <w:r w:rsidR="00FC0FF7">
              <w:rPr>
                <w:noProof/>
                <w:webHidden/>
              </w:rPr>
              <w:t>14</w:t>
            </w:r>
            <w:r>
              <w:rPr>
                <w:noProof/>
                <w:webHidden/>
              </w:rPr>
              <w:fldChar w:fldCharType="end"/>
            </w:r>
          </w:hyperlink>
        </w:p>
        <w:p w14:paraId="5E525D07" w14:textId="7528725B" w:rsidR="000910E7" w:rsidRDefault="000910E7">
          <w:pPr>
            <w:pStyle w:val="TOC3"/>
            <w:rPr>
              <w:rFonts w:eastAsiaTheme="minorEastAsia"/>
              <w:noProof/>
              <w:kern w:val="2"/>
              <w:sz w:val="24"/>
              <w:szCs w:val="24"/>
              <w14:ligatures w14:val="standardContextual"/>
            </w:rPr>
          </w:pPr>
          <w:hyperlink w:anchor="_Toc209003039" w:history="1">
            <w:r w:rsidRPr="00C8232C">
              <w:rPr>
                <w:rStyle w:val="Hyperlink"/>
                <w:noProof/>
              </w:rPr>
              <w:t>2.2.2</w:t>
            </w:r>
            <w:r>
              <w:rPr>
                <w:rFonts w:eastAsiaTheme="minorEastAsia"/>
                <w:noProof/>
                <w:kern w:val="2"/>
                <w:sz w:val="24"/>
                <w:szCs w:val="24"/>
                <w14:ligatures w14:val="standardContextual"/>
              </w:rPr>
              <w:tab/>
            </w:r>
            <w:r w:rsidRPr="00C8232C">
              <w:rPr>
                <w:rStyle w:val="Hyperlink"/>
                <w:noProof/>
              </w:rPr>
              <w:t>Initial Certification Process</w:t>
            </w:r>
            <w:r>
              <w:rPr>
                <w:noProof/>
                <w:webHidden/>
              </w:rPr>
              <w:tab/>
            </w:r>
            <w:r>
              <w:rPr>
                <w:noProof/>
                <w:webHidden/>
              </w:rPr>
              <w:fldChar w:fldCharType="begin"/>
            </w:r>
            <w:r>
              <w:rPr>
                <w:noProof/>
                <w:webHidden/>
              </w:rPr>
              <w:instrText xml:space="preserve"> PAGEREF _Toc209003039 \h </w:instrText>
            </w:r>
            <w:r>
              <w:rPr>
                <w:noProof/>
                <w:webHidden/>
              </w:rPr>
            </w:r>
            <w:r>
              <w:rPr>
                <w:noProof/>
                <w:webHidden/>
              </w:rPr>
              <w:fldChar w:fldCharType="separate"/>
            </w:r>
            <w:r w:rsidR="00FC0FF7">
              <w:rPr>
                <w:noProof/>
                <w:webHidden/>
              </w:rPr>
              <w:t>16</w:t>
            </w:r>
            <w:r>
              <w:rPr>
                <w:noProof/>
                <w:webHidden/>
              </w:rPr>
              <w:fldChar w:fldCharType="end"/>
            </w:r>
          </w:hyperlink>
        </w:p>
        <w:p w14:paraId="18C7B621" w14:textId="4D3B1F1A" w:rsidR="000910E7" w:rsidRDefault="000910E7">
          <w:pPr>
            <w:pStyle w:val="TOC3"/>
            <w:rPr>
              <w:rFonts w:eastAsiaTheme="minorEastAsia"/>
              <w:noProof/>
              <w:kern w:val="2"/>
              <w:sz w:val="24"/>
              <w:szCs w:val="24"/>
              <w14:ligatures w14:val="standardContextual"/>
            </w:rPr>
          </w:pPr>
          <w:hyperlink w:anchor="_Toc209003040" w:history="1">
            <w:r w:rsidRPr="00C8232C">
              <w:rPr>
                <w:rStyle w:val="Hyperlink"/>
                <w:noProof/>
              </w:rPr>
              <w:t>2.2.3</w:t>
            </w:r>
            <w:r>
              <w:rPr>
                <w:rFonts w:eastAsiaTheme="minorEastAsia"/>
                <w:noProof/>
                <w:kern w:val="2"/>
                <w:sz w:val="24"/>
                <w:szCs w:val="24"/>
                <w14:ligatures w14:val="standardContextual"/>
              </w:rPr>
              <w:tab/>
            </w:r>
            <w:r w:rsidRPr="00C8232C">
              <w:rPr>
                <w:rStyle w:val="Hyperlink"/>
                <w:noProof/>
              </w:rPr>
              <w:t>Failure to Meet Certification Requirements</w:t>
            </w:r>
            <w:r>
              <w:rPr>
                <w:noProof/>
                <w:webHidden/>
              </w:rPr>
              <w:tab/>
            </w:r>
            <w:r>
              <w:rPr>
                <w:noProof/>
                <w:webHidden/>
              </w:rPr>
              <w:fldChar w:fldCharType="begin"/>
            </w:r>
            <w:r>
              <w:rPr>
                <w:noProof/>
                <w:webHidden/>
              </w:rPr>
              <w:instrText xml:space="preserve"> PAGEREF _Toc209003040 \h </w:instrText>
            </w:r>
            <w:r>
              <w:rPr>
                <w:noProof/>
                <w:webHidden/>
              </w:rPr>
            </w:r>
            <w:r>
              <w:rPr>
                <w:noProof/>
                <w:webHidden/>
              </w:rPr>
              <w:fldChar w:fldCharType="separate"/>
            </w:r>
            <w:r w:rsidR="00FC0FF7">
              <w:rPr>
                <w:noProof/>
                <w:webHidden/>
              </w:rPr>
              <w:t>17</w:t>
            </w:r>
            <w:r>
              <w:rPr>
                <w:noProof/>
                <w:webHidden/>
              </w:rPr>
              <w:fldChar w:fldCharType="end"/>
            </w:r>
          </w:hyperlink>
        </w:p>
        <w:p w14:paraId="40A2C8A2" w14:textId="55402E6D" w:rsidR="000910E7" w:rsidRDefault="000910E7">
          <w:pPr>
            <w:pStyle w:val="TOC3"/>
            <w:rPr>
              <w:rFonts w:eastAsiaTheme="minorEastAsia"/>
              <w:noProof/>
              <w:kern w:val="2"/>
              <w:sz w:val="24"/>
              <w:szCs w:val="24"/>
              <w14:ligatures w14:val="standardContextual"/>
            </w:rPr>
          </w:pPr>
          <w:hyperlink w:anchor="_Toc209003041" w:history="1">
            <w:r w:rsidRPr="00C8232C">
              <w:rPr>
                <w:rStyle w:val="Hyperlink"/>
                <w:noProof/>
              </w:rPr>
              <w:t>2.2.4</w:t>
            </w:r>
            <w:r>
              <w:rPr>
                <w:rFonts w:eastAsiaTheme="minorEastAsia"/>
                <w:noProof/>
                <w:kern w:val="2"/>
                <w:sz w:val="24"/>
                <w:szCs w:val="24"/>
                <w14:ligatures w14:val="standardContextual"/>
              </w:rPr>
              <w:tab/>
            </w:r>
            <w:r w:rsidRPr="00C8232C">
              <w:rPr>
                <w:rStyle w:val="Hyperlink"/>
                <w:noProof/>
              </w:rPr>
              <w:t>EDE Partner Applicant-Initiated Delay</w:t>
            </w:r>
            <w:r>
              <w:rPr>
                <w:noProof/>
                <w:webHidden/>
              </w:rPr>
              <w:tab/>
            </w:r>
            <w:r>
              <w:rPr>
                <w:noProof/>
                <w:webHidden/>
              </w:rPr>
              <w:fldChar w:fldCharType="begin"/>
            </w:r>
            <w:r>
              <w:rPr>
                <w:noProof/>
                <w:webHidden/>
              </w:rPr>
              <w:instrText xml:space="preserve"> PAGEREF _Toc209003041 \h </w:instrText>
            </w:r>
            <w:r>
              <w:rPr>
                <w:noProof/>
                <w:webHidden/>
              </w:rPr>
            </w:r>
            <w:r>
              <w:rPr>
                <w:noProof/>
                <w:webHidden/>
              </w:rPr>
              <w:fldChar w:fldCharType="separate"/>
            </w:r>
            <w:r w:rsidR="00FC0FF7">
              <w:rPr>
                <w:noProof/>
                <w:webHidden/>
              </w:rPr>
              <w:t>18</w:t>
            </w:r>
            <w:r>
              <w:rPr>
                <w:noProof/>
                <w:webHidden/>
              </w:rPr>
              <w:fldChar w:fldCharType="end"/>
            </w:r>
          </w:hyperlink>
        </w:p>
        <w:p w14:paraId="3FF7D4FB" w14:textId="6DD5024E" w:rsidR="000910E7" w:rsidRDefault="000910E7">
          <w:pPr>
            <w:pStyle w:val="TOC3"/>
            <w:rPr>
              <w:rFonts w:eastAsiaTheme="minorEastAsia"/>
              <w:noProof/>
              <w:kern w:val="2"/>
              <w:sz w:val="24"/>
              <w:szCs w:val="24"/>
              <w14:ligatures w14:val="standardContextual"/>
            </w:rPr>
          </w:pPr>
          <w:hyperlink w:anchor="_Toc209003042" w:history="1">
            <w:r w:rsidRPr="00C8232C">
              <w:rPr>
                <w:rStyle w:val="Hyperlink"/>
                <w:noProof/>
              </w:rPr>
              <w:t>2.2.5</w:t>
            </w:r>
            <w:r>
              <w:rPr>
                <w:rFonts w:eastAsiaTheme="minorEastAsia"/>
                <w:noProof/>
                <w:kern w:val="2"/>
                <w:sz w:val="24"/>
                <w:szCs w:val="24"/>
                <w14:ligatures w14:val="standardContextual"/>
              </w:rPr>
              <w:tab/>
            </w:r>
            <w:r w:rsidRPr="00C8232C">
              <w:rPr>
                <w:rStyle w:val="Hyperlink"/>
                <w:noProof/>
              </w:rPr>
              <w:t>EDE Partner Applicant-Initiated Withdrawal</w:t>
            </w:r>
            <w:r>
              <w:rPr>
                <w:noProof/>
                <w:webHidden/>
              </w:rPr>
              <w:tab/>
            </w:r>
            <w:r>
              <w:rPr>
                <w:noProof/>
                <w:webHidden/>
              </w:rPr>
              <w:fldChar w:fldCharType="begin"/>
            </w:r>
            <w:r>
              <w:rPr>
                <w:noProof/>
                <w:webHidden/>
              </w:rPr>
              <w:instrText xml:space="preserve"> PAGEREF _Toc209003042 \h </w:instrText>
            </w:r>
            <w:r>
              <w:rPr>
                <w:noProof/>
                <w:webHidden/>
              </w:rPr>
            </w:r>
            <w:r>
              <w:rPr>
                <w:noProof/>
                <w:webHidden/>
              </w:rPr>
              <w:fldChar w:fldCharType="separate"/>
            </w:r>
            <w:r w:rsidR="00FC0FF7">
              <w:rPr>
                <w:noProof/>
                <w:webHidden/>
              </w:rPr>
              <w:t>18</w:t>
            </w:r>
            <w:r>
              <w:rPr>
                <w:noProof/>
                <w:webHidden/>
              </w:rPr>
              <w:fldChar w:fldCharType="end"/>
            </w:r>
          </w:hyperlink>
        </w:p>
        <w:p w14:paraId="21B26AC4" w14:textId="16E4250F" w:rsidR="000910E7" w:rsidRDefault="000910E7">
          <w:pPr>
            <w:pStyle w:val="TOC2"/>
            <w:rPr>
              <w:rFonts w:eastAsiaTheme="minorEastAsia"/>
              <w:noProof/>
              <w:kern w:val="2"/>
              <w:sz w:val="24"/>
              <w:szCs w:val="24"/>
              <w14:ligatures w14:val="standardContextual"/>
            </w:rPr>
          </w:pPr>
          <w:hyperlink w:anchor="_Toc209003043" w:history="1">
            <w:r w:rsidRPr="00C8232C">
              <w:rPr>
                <w:rStyle w:val="Hyperlink"/>
                <w:noProof/>
              </w:rPr>
              <w:t>2.3</w:t>
            </w:r>
            <w:r>
              <w:rPr>
                <w:rFonts w:eastAsiaTheme="minorEastAsia"/>
                <w:noProof/>
                <w:kern w:val="2"/>
                <w:sz w:val="24"/>
                <w:szCs w:val="24"/>
                <w14:ligatures w14:val="standardContextual"/>
              </w:rPr>
              <w:tab/>
            </w:r>
            <w:r w:rsidRPr="00C8232C">
              <w:rPr>
                <w:rStyle w:val="Hyperlink"/>
                <w:noProof/>
              </w:rPr>
              <w:t>Ongoing Requirements and Policies</w:t>
            </w:r>
            <w:r>
              <w:rPr>
                <w:noProof/>
                <w:webHidden/>
              </w:rPr>
              <w:tab/>
            </w:r>
            <w:r>
              <w:rPr>
                <w:noProof/>
                <w:webHidden/>
              </w:rPr>
              <w:fldChar w:fldCharType="begin"/>
            </w:r>
            <w:r>
              <w:rPr>
                <w:noProof/>
                <w:webHidden/>
              </w:rPr>
              <w:instrText xml:space="preserve"> PAGEREF _Toc209003043 \h </w:instrText>
            </w:r>
            <w:r>
              <w:rPr>
                <w:noProof/>
                <w:webHidden/>
              </w:rPr>
            </w:r>
            <w:r>
              <w:rPr>
                <w:noProof/>
                <w:webHidden/>
              </w:rPr>
              <w:fldChar w:fldCharType="separate"/>
            </w:r>
            <w:r w:rsidR="00FC0FF7">
              <w:rPr>
                <w:noProof/>
                <w:webHidden/>
              </w:rPr>
              <w:t>18</w:t>
            </w:r>
            <w:r>
              <w:rPr>
                <w:noProof/>
                <w:webHidden/>
              </w:rPr>
              <w:fldChar w:fldCharType="end"/>
            </w:r>
          </w:hyperlink>
        </w:p>
        <w:p w14:paraId="54B6A2EA" w14:textId="2D385309" w:rsidR="000910E7" w:rsidRDefault="000910E7">
          <w:pPr>
            <w:pStyle w:val="TOC3"/>
            <w:rPr>
              <w:rFonts w:eastAsiaTheme="minorEastAsia"/>
              <w:noProof/>
              <w:kern w:val="2"/>
              <w:sz w:val="24"/>
              <w:szCs w:val="24"/>
              <w14:ligatures w14:val="standardContextual"/>
            </w:rPr>
          </w:pPr>
          <w:hyperlink w:anchor="_Toc209003044" w:history="1">
            <w:r w:rsidRPr="00C8232C">
              <w:rPr>
                <w:rStyle w:val="Hyperlink"/>
                <w:noProof/>
              </w:rPr>
              <w:t>2.3.1</w:t>
            </w:r>
            <w:r>
              <w:rPr>
                <w:rFonts w:eastAsiaTheme="minorEastAsia"/>
                <w:noProof/>
                <w:kern w:val="2"/>
                <w:sz w:val="24"/>
                <w:szCs w:val="24"/>
                <w14:ligatures w14:val="standardContextual"/>
              </w:rPr>
              <w:tab/>
            </w:r>
            <w:r w:rsidRPr="00C8232C">
              <w:rPr>
                <w:rStyle w:val="Hyperlink"/>
                <w:noProof/>
              </w:rPr>
              <w:t>Change Control Policy</w:t>
            </w:r>
            <w:r>
              <w:rPr>
                <w:noProof/>
                <w:webHidden/>
              </w:rPr>
              <w:tab/>
            </w:r>
            <w:r>
              <w:rPr>
                <w:noProof/>
                <w:webHidden/>
              </w:rPr>
              <w:fldChar w:fldCharType="begin"/>
            </w:r>
            <w:r>
              <w:rPr>
                <w:noProof/>
                <w:webHidden/>
              </w:rPr>
              <w:instrText xml:space="preserve"> PAGEREF _Toc209003044 \h </w:instrText>
            </w:r>
            <w:r>
              <w:rPr>
                <w:noProof/>
                <w:webHidden/>
              </w:rPr>
            </w:r>
            <w:r>
              <w:rPr>
                <w:noProof/>
                <w:webHidden/>
              </w:rPr>
              <w:fldChar w:fldCharType="separate"/>
            </w:r>
            <w:r w:rsidR="00FC0FF7">
              <w:rPr>
                <w:noProof/>
                <w:webHidden/>
              </w:rPr>
              <w:t>19</w:t>
            </w:r>
            <w:r>
              <w:rPr>
                <w:noProof/>
                <w:webHidden/>
              </w:rPr>
              <w:fldChar w:fldCharType="end"/>
            </w:r>
          </w:hyperlink>
        </w:p>
        <w:p w14:paraId="7D94D04F" w14:textId="0C0FAF95" w:rsidR="000910E7" w:rsidRDefault="000910E7">
          <w:pPr>
            <w:pStyle w:val="TOC3"/>
            <w:rPr>
              <w:rFonts w:eastAsiaTheme="minorEastAsia"/>
              <w:noProof/>
              <w:kern w:val="2"/>
              <w:sz w:val="24"/>
              <w:szCs w:val="24"/>
              <w14:ligatures w14:val="standardContextual"/>
            </w:rPr>
          </w:pPr>
          <w:hyperlink w:anchor="_Toc209003045" w:history="1">
            <w:r w:rsidRPr="00C8232C">
              <w:rPr>
                <w:rStyle w:val="Hyperlink"/>
                <w:noProof/>
              </w:rPr>
              <w:t>2.3.2</w:t>
            </w:r>
            <w:r>
              <w:rPr>
                <w:rFonts w:eastAsiaTheme="minorEastAsia"/>
                <w:noProof/>
                <w:kern w:val="2"/>
                <w:sz w:val="24"/>
                <w:szCs w:val="24"/>
                <w14:ligatures w14:val="standardContextual"/>
              </w:rPr>
              <w:tab/>
            </w:r>
            <w:r w:rsidRPr="00C8232C">
              <w:rPr>
                <w:rStyle w:val="Hyperlink"/>
                <w:noProof/>
              </w:rPr>
              <w:t>EDE Partner Reporting</w:t>
            </w:r>
            <w:r>
              <w:rPr>
                <w:noProof/>
                <w:webHidden/>
              </w:rPr>
              <w:tab/>
            </w:r>
            <w:r>
              <w:rPr>
                <w:noProof/>
                <w:webHidden/>
              </w:rPr>
              <w:fldChar w:fldCharType="begin"/>
            </w:r>
            <w:r>
              <w:rPr>
                <w:noProof/>
                <w:webHidden/>
              </w:rPr>
              <w:instrText xml:space="preserve"> PAGEREF _Toc209003045 \h </w:instrText>
            </w:r>
            <w:r>
              <w:rPr>
                <w:noProof/>
                <w:webHidden/>
              </w:rPr>
            </w:r>
            <w:r>
              <w:rPr>
                <w:noProof/>
                <w:webHidden/>
              </w:rPr>
              <w:fldChar w:fldCharType="separate"/>
            </w:r>
            <w:r w:rsidR="00FC0FF7">
              <w:rPr>
                <w:noProof/>
                <w:webHidden/>
              </w:rPr>
              <w:t>20</w:t>
            </w:r>
            <w:r>
              <w:rPr>
                <w:noProof/>
                <w:webHidden/>
              </w:rPr>
              <w:fldChar w:fldCharType="end"/>
            </w:r>
          </w:hyperlink>
        </w:p>
        <w:p w14:paraId="510856B7" w14:textId="498485CC" w:rsidR="000910E7" w:rsidRDefault="000910E7">
          <w:pPr>
            <w:pStyle w:val="TOC3"/>
            <w:rPr>
              <w:rFonts w:eastAsiaTheme="minorEastAsia"/>
              <w:noProof/>
              <w:kern w:val="2"/>
              <w:sz w:val="24"/>
              <w:szCs w:val="24"/>
              <w14:ligatures w14:val="standardContextual"/>
            </w:rPr>
          </w:pPr>
          <w:hyperlink w:anchor="_Toc209003046" w:history="1">
            <w:r w:rsidRPr="00C8232C">
              <w:rPr>
                <w:rStyle w:val="Hyperlink"/>
                <w:noProof/>
              </w:rPr>
              <w:t>2.3.3</w:t>
            </w:r>
            <w:r>
              <w:rPr>
                <w:rFonts w:eastAsiaTheme="minorEastAsia"/>
                <w:noProof/>
                <w:kern w:val="2"/>
                <w:sz w:val="24"/>
                <w:szCs w:val="24"/>
                <w14:ligatures w14:val="standardContextual"/>
              </w:rPr>
              <w:tab/>
            </w:r>
            <w:r w:rsidRPr="00C8232C">
              <w:rPr>
                <w:rStyle w:val="Hyperlink"/>
                <w:noProof/>
              </w:rPr>
              <w:t>Marketing and Consumer Education</w:t>
            </w:r>
            <w:r>
              <w:rPr>
                <w:noProof/>
                <w:webHidden/>
              </w:rPr>
              <w:tab/>
            </w:r>
            <w:r>
              <w:rPr>
                <w:noProof/>
                <w:webHidden/>
              </w:rPr>
              <w:fldChar w:fldCharType="begin"/>
            </w:r>
            <w:r>
              <w:rPr>
                <w:noProof/>
                <w:webHidden/>
              </w:rPr>
              <w:instrText xml:space="preserve"> PAGEREF _Toc209003046 \h </w:instrText>
            </w:r>
            <w:r>
              <w:rPr>
                <w:noProof/>
                <w:webHidden/>
              </w:rPr>
            </w:r>
            <w:r>
              <w:rPr>
                <w:noProof/>
                <w:webHidden/>
              </w:rPr>
              <w:fldChar w:fldCharType="separate"/>
            </w:r>
            <w:r w:rsidR="00FC0FF7">
              <w:rPr>
                <w:noProof/>
                <w:webHidden/>
              </w:rPr>
              <w:t>21</w:t>
            </w:r>
            <w:r>
              <w:rPr>
                <w:noProof/>
                <w:webHidden/>
              </w:rPr>
              <w:fldChar w:fldCharType="end"/>
            </w:r>
          </w:hyperlink>
        </w:p>
        <w:p w14:paraId="47F39999" w14:textId="3583EE8C" w:rsidR="000910E7" w:rsidRDefault="000910E7">
          <w:pPr>
            <w:pStyle w:val="TOC3"/>
            <w:rPr>
              <w:rFonts w:eastAsiaTheme="minorEastAsia"/>
              <w:noProof/>
              <w:kern w:val="2"/>
              <w:sz w:val="24"/>
              <w:szCs w:val="24"/>
              <w14:ligatures w14:val="standardContextual"/>
            </w:rPr>
          </w:pPr>
          <w:hyperlink w:anchor="_Toc209003047" w:history="1">
            <w:r w:rsidRPr="00C8232C">
              <w:rPr>
                <w:rStyle w:val="Hyperlink"/>
                <w:noProof/>
              </w:rPr>
              <w:t>2.3.4</w:t>
            </w:r>
            <w:r>
              <w:rPr>
                <w:rFonts w:eastAsiaTheme="minorEastAsia"/>
                <w:noProof/>
                <w:kern w:val="2"/>
                <w:sz w:val="24"/>
                <w:szCs w:val="24"/>
                <w14:ligatures w14:val="standardContextual"/>
              </w:rPr>
              <w:tab/>
            </w:r>
            <w:r w:rsidRPr="00C8232C">
              <w:rPr>
                <w:rStyle w:val="Hyperlink"/>
                <w:noProof/>
              </w:rPr>
              <w:t>EDE Partner-Initiated Withdrawal of Certification</w:t>
            </w:r>
            <w:r>
              <w:rPr>
                <w:noProof/>
                <w:webHidden/>
              </w:rPr>
              <w:tab/>
            </w:r>
            <w:r>
              <w:rPr>
                <w:noProof/>
                <w:webHidden/>
              </w:rPr>
              <w:fldChar w:fldCharType="begin"/>
            </w:r>
            <w:r>
              <w:rPr>
                <w:noProof/>
                <w:webHidden/>
              </w:rPr>
              <w:instrText xml:space="preserve"> PAGEREF _Toc209003047 \h </w:instrText>
            </w:r>
            <w:r>
              <w:rPr>
                <w:noProof/>
                <w:webHidden/>
              </w:rPr>
            </w:r>
            <w:r>
              <w:rPr>
                <w:noProof/>
                <w:webHidden/>
              </w:rPr>
              <w:fldChar w:fldCharType="separate"/>
            </w:r>
            <w:r w:rsidR="00FC0FF7">
              <w:rPr>
                <w:noProof/>
                <w:webHidden/>
              </w:rPr>
              <w:t>21</w:t>
            </w:r>
            <w:r>
              <w:rPr>
                <w:noProof/>
                <w:webHidden/>
              </w:rPr>
              <w:fldChar w:fldCharType="end"/>
            </w:r>
          </w:hyperlink>
        </w:p>
        <w:p w14:paraId="67586ABB" w14:textId="7627A9DF" w:rsidR="000910E7" w:rsidRDefault="000910E7">
          <w:pPr>
            <w:pStyle w:val="TOC2"/>
            <w:rPr>
              <w:rFonts w:eastAsiaTheme="minorEastAsia"/>
              <w:noProof/>
              <w:kern w:val="2"/>
              <w:sz w:val="24"/>
              <w:szCs w:val="24"/>
              <w14:ligatures w14:val="standardContextual"/>
            </w:rPr>
          </w:pPr>
          <w:hyperlink w:anchor="_Toc209003048" w:history="1">
            <w:r w:rsidRPr="00C8232C">
              <w:rPr>
                <w:rStyle w:val="Hyperlink"/>
                <w:noProof/>
              </w:rPr>
              <w:t>2.4</w:t>
            </w:r>
            <w:r>
              <w:rPr>
                <w:rFonts w:eastAsiaTheme="minorEastAsia"/>
                <w:noProof/>
                <w:kern w:val="2"/>
                <w:sz w:val="24"/>
                <w:szCs w:val="24"/>
                <w14:ligatures w14:val="standardContextual"/>
              </w:rPr>
              <w:tab/>
            </w:r>
            <w:r w:rsidRPr="00C8232C">
              <w:rPr>
                <w:rStyle w:val="Hyperlink"/>
                <w:noProof/>
              </w:rPr>
              <w:t>Annual Recertification</w:t>
            </w:r>
            <w:r>
              <w:rPr>
                <w:noProof/>
                <w:webHidden/>
              </w:rPr>
              <w:tab/>
            </w:r>
            <w:r>
              <w:rPr>
                <w:noProof/>
                <w:webHidden/>
              </w:rPr>
              <w:fldChar w:fldCharType="begin"/>
            </w:r>
            <w:r>
              <w:rPr>
                <w:noProof/>
                <w:webHidden/>
              </w:rPr>
              <w:instrText xml:space="preserve"> PAGEREF _Toc209003048 \h </w:instrText>
            </w:r>
            <w:r>
              <w:rPr>
                <w:noProof/>
                <w:webHidden/>
              </w:rPr>
            </w:r>
            <w:r>
              <w:rPr>
                <w:noProof/>
                <w:webHidden/>
              </w:rPr>
              <w:fldChar w:fldCharType="separate"/>
            </w:r>
            <w:r w:rsidR="00FC0FF7">
              <w:rPr>
                <w:noProof/>
                <w:webHidden/>
              </w:rPr>
              <w:t>21</w:t>
            </w:r>
            <w:r>
              <w:rPr>
                <w:noProof/>
                <w:webHidden/>
              </w:rPr>
              <w:fldChar w:fldCharType="end"/>
            </w:r>
          </w:hyperlink>
        </w:p>
        <w:p w14:paraId="46037434" w14:textId="03ED5206" w:rsidR="000910E7" w:rsidRDefault="000910E7">
          <w:pPr>
            <w:pStyle w:val="TOC3"/>
            <w:rPr>
              <w:rFonts w:eastAsiaTheme="minorEastAsia"/>
              <w:noProof/>
              <w:kern w:val="2"/>
              <w:sz w:val="24"/>
              <w:szCs w:val="24"/>
              <w14:ligatures w14:val="standardContextual"/>
            </w:rPr>
          </w:pPr>
          <w:hyperlink w:anchor="_Toc209003049" w:history="1">
            <w:r w:rsidRPr="00C8232C">
              <w:rPr>
                <w:rStyle w:val="Hyperlink"/>
                <w:noProof/>
              </w:rPr>
              <w:t>2.4.2</w:t>
            </w:r>
            <w:r>
              <w:rPr>
                <w:rFonts w:eastAsiaTheme="minorEastAsia"/>
                <w:noProof/>
                <w:kern w:val="2"/>
                <w:sz w:val="24"/>
                <w:szCs w:val="24"/>
                <w14:ligatures w14:val="standardContextual"/>
              </w:rPr>
              <w:tab/>
            </w:r>
            <w:r w:rsidRPr="00C8232C">
              <w:rPr>
                <w:rStyle w:val="Hyperlink"/>
                <w:noProof/>
              </w:rPr>
              <w:t>Failure to Meet Recertification Requirements</w:t>
            </w:r>
            <w:r>
              <w:rPr>
                <w:noProof/>
                <w:webHidden/>
              </w:rPr>
              <w:tab/>
            </w:r>
            <w:r>
              <w:rPr>
                <w:noProof/>
                <w:webHidden/>
              </w:rPr>
              <w:fldChar w:fldCharType="begin"/>
            </w:r>
            <w:r>
              <w:rPr>
                <w:noProof/>
                <w:webHidden/>
              </w:rPr>
              <w:instrText xml:space="preserve"> PAGEREF _Toc209003049 \h </w:instrText>
            </w:r>
            <w:r>
              <w:rPr>
                <w:noProof/>
                <w:webHidden/>
              </w:rPr>
            </w:r>
            <w:r>
              <w:rPr>
                <w:noProof/>
                <w:webHidden/>
              </w:rPr>
              <w:fldChar w:fldCharType="separate"/>
            </w:r>
            <w:r w:rsidR="00FC0FF7">
              <w:rPr>
                <w:noProof/>
                <w:webHidden/>
              </w:rPr>
              <w:t>22</w:t>
            </w:r>
            <w:r>
              <w:rPr>
                <w:noProof/>
                <w:webHidden/>
              </w:rPr>
              <w:fldChar w:fldCharType="end"/>
            </w:r>
          </w:hyperlink>
        </w:p>
        <w:p w14:paraId="0D8DDACA" w14:textId="6B6CE40E" w:rsidR="000910E7" w:rsidRDefault="000910E7">
          <w:pPr>
            <w:pStyle w:val="TOC3"/>
            <w:rPr>
              <w:rFonts w:eastAsiaTheme="minorEastAsia"/>
              <w:noProof/>
              <w:kern w:val="2"/>
              <w:sz w:val="24"/>
              <w:szCs w:val="24"/>
              <w14:ligatures w14:val="standardContextual"/>
            </w:rPr>
          </w:pPr>
          <w:hyperlink w:anchor="_Toc209003050" w:history="1">
            <w:r w:rsidRPr="00C8232C">
              <w:rPr>
                <w:rStyle w:val="Hyperlink"/>
                <w:noProof/>
              </w:rPr>
              <w:t>2.4.3</w:t>
            </w:r>
            <w:r>
              <w:rPr>
                <w:rFonts w:eastAsiaTheme="minorEastAsia"/>
                <w:noProof/>
                <w:kern w:val="2"/>
                <w:sz w:val="24"/>
                <w:szCs w:val="24"/>
                <w14:ligatures w14:val="standardContextual"/>
              </w:rPr>
              <w:tab/>
            </w:r>
            <w:r w:rsidRPr="00C8232C">
              <w:rPr>
                <w:rStyle w:val="Hyperlink"/>
                <w:noProof/>
              </w:rPr>
              <w:t>EDE Partner-Initiated Delay</w:t>
            </w:r>
            <w:r>
              <w:rPr>
                <w:noProof/>
                <w:webHidden/>
              </w:rPr>
              <w:tab/>
            </w:r>
            <w:r>
              <w:rPr>
                <w:noProof/>
                <w:webHidden/>
              </w:rPr>
              <w:fldChar w:fldCharType="begin"/>
            </w:r>
            <w:r>
              <w:rPr>
                <w:noProof/>
                <w:webHidden/>
              </w:rPr>
              <w:instrText xml:space="preserve"> PAGEREF _Toc209003050 \h </w:instrText>
            </w:r>
            <w:r>
              <w:rPr>
                <w:noProof/>
                <w:webHidden/>
              </w:rPr>
            </w:r>
            <w:r>
              <w:rPr>
                <w:noProof/>
                <w:webHidden/>
              </w:rPr>
              <w:fldChar w:fldCharType="separate"/>
            </w:r>
            <w:r w:rsidR="00FC0FF7">
              <w:rPr>
                <w:noProof/>
                <w:webHidden/>
              </w:rPr>
              <w:t>23</w:t>
            </w:r>
            <w:r>
              <w:rPr>
                <w:noProof/>
                <w:webHidden/>
              </w:rPr>
              <w:fldChar w:fldCharType="end"/>
            </w:r>
          </w:hyperlink>
        </w:p>
        <w:p w14:paraId="160F4071" w14:textId="059BA787" w:rsidR="000910E7" w:rsidRDefault="000910E7">
          <w:pPr>
            <w:pStyle w:val="TOC3"/>
            <w:rPr>
              <w:rFonts w:eastAsiaTheme="minorEastAsia"/>
              <w:noProof/>
              <w:kern w:val="2"/>
              <w:sz w:val="24"/>
              <w:szCs w:val="24"/>
              <w14:ligatures w14:val="standardContextual"/>
            </w:rPr>
          </w:pPr>
          <w:hyperlink w:anchor="_Toc209003051" w:history="1">
            <w:r w:rsidRPr="00C8232C">
              <w:rPr>
                <w:rStyle w:val="Hyperlink"/>
                <w:noProof/>
              </w:rPr>
              <w:t>2.4.4</w:t>
            </w:r>
            <w:r>
              <w:rPr>
                <w:rFonts w:eastAsiaTheme="minorEastAsia"/>
                <w:noProof/>
                <w:kern w:val="2"/>
                <w:sz w:val="24"/>
                <w:szCs w:val="24"/>
                <w14:ligatures w14:val="standardContextual"/>
              </w:rPr>
              <w:tab/>
            </w:r>
            <w:r w:rsidRPr="00C8232C">
              <w:rPr>
                <w:rStyle w:val="Hyperlink"/>
                <w:noProof/>
              </w:rPr>
              <w:t>EDE Partner-Initiated Withdrawal</w:t>
            </w:r>
            <w:r>
              <w:rPr>
                <w:noProof/>
                <w:webHidden/>
              </w:rPr>
              <w:tab/>
            </w:r>
            <w:r>
              <w:rPr>
                <w:noProof/>
                <w:webHidden/>
              </w:rPr>
              <w:fldChar w:fldCharType="begin"/>
            </w:r>
            <w:r>
              <w:rPr>
                <w:noProof/>
                <w:webHidden/>
              </w:rPr>
              <w:instrText xml:space="preserve"> PAGEREF _Toc209003051 \h </w:instrText>
            </w:r>
            <w:r>
              <w:rPr>
                <w:noProof/>
                <w:webHidden/>
              </w:rPr>
            </w:r>
            <w:r>
              <w:rPr>
                <w:noProof/>
                <w:webHidden/>
              </w:rPr>
              <w:fldChar w:fldCharType="separate"/>
            </w:r>
            <w:r w:rsidR="00FC0FF7">
              <w:rPr>
                <w:noProof/>
                <w:webHidden/>
              </w:rPr>
              <w:t>23</w:t>
            </w:r>
            <w:r>
              <w:rPr>
                <w:noProof/>
                <w:webHidden/>
              </w:rPr>
              <w:fldChar w:fldCharType="end"/>
            </w:r>
          </w:hyperlink>
        </w:p>
        <w:p w14:paraId="6227E659" w14:textId="44FD68B4" w:rsidR="000910E7" w:rsidRDefault="000910E7">
          <w:pPr>
            <w:pStyle w:val="TOC3"/>
            <w:rPr>
              <w:rFonts w:eastAsiaTheme="minorEastAsia"/>
              <w:noProof/>
              <w:kern w:val="2"/>
              <w:sz w:val="24"/>
              <w:szCs w:val="24"/>
              <w14:ligatures w14:val="standardContextual"/>
            </w:rPr>
          </w:pPr>
          <w:hyperlink w:anchor="_Toc209003052" w:history="1">
            <w:r w:rsidRPr="00C8232C">
              <w:rPr>
                <w:rStyle w:val="Hyperlink"/>
                <w:noProof/>
              </w:rPr>
              <w:t>2.4.5</w:t>
            </w:r>
            <w:r>
              <w:rPr>
                <w:rFonts w:eastAsiaTheme="minorEastAsia"/>
                <w:noProof/>
                <w:kern w:val="2"/>
                <w:sz w:val="24"/>
                <w:szCs w:val="24"/>
                <w14:ligatures w14:val="standardContextual"/>
              </w:rPr>
              <w:tab/>
            </w:r>
            <w:r w:rsidRPr="00C8232C">
              <w:rPr>
                <w:rStyle w:val="Hyperlink"/>
                <w:noProof/>
              </w:rPr>
              <w:t>Intent Not to Recertify</w:t>
            </w:r>
            <w:r>
              <w:rPr>
                <w:noProof/>
                <w:webHidden/>
              </w:rPr>
              <w:tab/>
            </w:r>
            <w:r>
              <w:rPr>
                <w:noProof/>
                <w:webHidden/>
              </w:rPr>
              <w:fldChar w:fldCharType="begin"/>
            </w:r>
            <w:r>
              <w:rPr>
                <w:noProof/>
                <w:webHidden/>
              </w:rPr>
              <w:instrText xml:space="preserve"> PAGEREF _Toc209003052 \h </w:instrText>
            </w:r>
            <w:r>
              <w:rPr>
                <w:noProof/>
                <w:webHidden/>
              </w:rPr>
            </w:r>
            <w:r>
              <w:rPr>
                <w:noProof/>
                <w:webHidden/>
              </w:rPr>
              <w:fldChar w:fldCharType="separate"/>
            </w:r>
            <w:r w:rsidR="00FC0FF7">
              <w:rPr>
                <w:noProof/>
                <w:webHidden/>
              </w:rPr>
              <w:t>23</w:t>
            </w:r>
            <w:r>
              <w:rPr>
                <w:noProof/>
                <w:webHidden/>
              </w:rPr>
              <w:fldChar w:fldCharType="end"/>
            </w:r>
          </w:hyperlink>
        </w:p>
        <w:p w14:paraId="2FBCC01F" w14:textId="395EE676" w:rsidR="000910E7" w:rsidRDefault="000910E7">
          <w:pPr>
            <w:pStyle w:val="TOC3"/>
            <w:rPr>
              <w:rFonts w:eastAsiaTheme="minorEastAsia"/>
              <w:noProof/>
              <w:kern w:val="2"/>
              <w:sz w:val="24"/>
              <w:szCs w:val="24"/>
              <w14:ligatures w14:val="standardContextual"/>
            </w:rPr>
          </w:pPr>
          <w:hyperlink w:anchor="_Toc209003053" w:history="1">
            <w:r w:rsidRPr="00C8232C">
              <w:rPr>
                <w:rStyle w:val="Hyperlink"/>
                <w:noProof/>
              </w:rPr>
              <w:t>2.4.6</w:t>
            </w:r>
            <w:r>
              <w:rPr>
                <w:rFonts w:eastAsiaTheme="minorEastAsia"/>
                <w:noProof/>
                <w:kern w:val="2"/>
                <w:sz w:val="24"/>
                <w:szCs w:val="24"/>
                <w14:ligatures w14:val="standardContextual"/>
              </w:rPr>
              <w:tab/>
            </w:r>
            <w:r w:rsidRPr="00C8232C">
              <w:rPr>
                <w:rStyle w:val="Hyperlink"/>
                <w:noProof/>
              </w:rPr>
              <w:t>Consumer Transition Plan for EDE Partners Not Recertified</w:t>
            </w:r>
            <w:r>
              <w:rPr>
                <w:noProof/>
                <w:webHidden/>
              </w:rPr>
              <w:tab/>
            </w:r>
            <w:r>
              <w:rPr>
                <w:noProof/>
                <w:webHidden/>
              </w:rPr>
              <w:fldChar w:fldCharType="begin"/>
            </w:r>
            <w:r>
              <w:rPr>
                <w:noProof/>
                <w:webHidden/>
              </w:rPr>
              <w:instrText xml:space="preserve"> PAGEREF _Toc209003053 \h </w:instrText>
            </w:r>
            <w:r>
              <w:rPr>
                <w:noProof/>
                <w:webHidden/>
              </w:rPr>
            </w:r>
            <w:r>
              <w:rPr>
                <w:noProof/>
                <w:webHidden/>
              </w:rPr>
              <w:fldChar w:fldCharType="separate"/>
            </w:r>
            <w:r w:rsidR="00FC0FF7">
              <w:rPr>
                <w:noProof/>
                <w:webHidden/>
              </w:rPr>
              <w:t>23</w:t>
            </w:r>
            <w:r>
              <w:rPr>
                <w:noProof/>
                <w:webHidden/>
              </w:rPr>
              <w:fldChar w:fldCharType="end"/>
            </w:r>
          </w:hyperlink>
        </w:p>
        <w:p w14:paraId="77232C4A" w14:textId="323E953F" w:rsidR="000910E7" w:rsidRDefault="000910E7">
          <w:pPr>
            <w:pStyle w:val="TOC2"/>
            <w:rPr>
              <w:rFonts w:eastAsiaTheme="minorEastAsia"/>
              <w:noProof/>
              <w:kern w:val="2"/>
              <w:sz w:val="24"/>
              <w:szCs w:val="24"/>
              <w14:ligatures w14:val="standardContextual"/>
            </w:rPr>
          </w:pPr>
          <w:hyperlink w:anchor="_Toc209003054" w:history="1">
            <w:r w:rsidRPr="00C8232C">
              <w:rPr>
                <w:rStyle w:val="Hyperlink"/>
                <w:noProof/>
              </w:rPr>
              <w:t>2.5</w:t>
            </w:r>
            <w:r>
              <w:rPr>
                <w:rFonts w:eastAsiaTheme="minorEastAsia"/>
                <w:noProof/>
                <w:kern w:val="2"/>
                <w:sz w:val="24"/>
                <w:szCs w:val="24"/>
                <w14:ligatures w14:val="standardContextual"/>
              </w:rPr>
              <w:tab/>
            </w:r>
            <w:r w:rsidRPr="00C8232C">
              <w:rPr>
                <w:rStyle w:val="Hyperlink"/>
                <w:noProof/>
              </w:rPr>
              <w:t>EDE Partner Compliance Monitoring and Violations</w:t>
            </w:r>
            <w:r>
              <w:rPr>
                <w:noProof/>
                <w:webHidden/>
              </w:rPr>
              <w:tab/>
            </w:r>
            <w:r>
              <w:rPr>
                <w:noProof/>
                <w:webHidden/>
              </w:rPr>
              <w:fldChar w:fldCharType="begin"/>
            </w:r>
            <w:r>
              <w:rPr>
                <w:noProof/>
                <w:webHidden/>
              </w:rPr>
              <w:instrText xml:space="preserve"> PAGEREF _Toc209003054 \h </w:instrText>
            </w:r>
            <w:r>
              <w:rPr>
                <w:noProof/>
                <w:webHidden/>
              </w:rPr>
            </w:r>
            <w:r>
              <w:rPr>
                <w:noProof/>
                <w:webHidden/>
              </w:rPr>
              <w:fldChar w:fldCharType="separate"/>
            </w:r>
            <w:r w:rsidR="00FC0FF7">
              <w:rPr>
                <w:noProof/>
                <w:webHidden/>
              </w:rPr>
              <w:t>23</w:t>
            </w:r>
            <w:r>
              <w:rPr>
                <w:noProof/>
                <w:webHidden/>
              </w:rPr>
              <w:fldChar w:fldCharType="end"/>
            </w:r>
          </w:hyperlink>
        </w:p>
        <w:p w14:paraId="1B671A95" w14:textId="125BFC04" w:rsidR="000910E7" w:rsidRDefault="000910E7">
          <w:pPr>
            <w:pStyle w:val="TOC3"/>
            <w:rPr>
              <w:rFonts w:eastAsiaTheme="minorEastAsia"/>
              <w:noProof/>
              <w:kern w:val="2"/>
              <w:sz w:val="24"/>
              <w:szCs w:val="24"/>
              <w14:ligatures w14:val="standardContextual"/>
            </w:rPr>
          </w:pPr>
          <w:hyperlink w:anchor="_Toc209003055" w:history="1">
            <w:r w:rsidRPr="00C8232C">
              <w:rPr>
                <w:rStyle w:val="Hyperlink"/>
                <w:noProof/>
              </w:rPr>
              <w:t>2.5.1</w:t>
            </w:r>
            <w:r>
              <w:rPr>
                <w:rFonts w:eastAsiaTheme="minorEastAsia"/>
                <w:noProof/>
                <w:kern w:val="2"/>
                <w:sz w:val="24"/>
                <w:szCs w:val="24"/>
                <w14:ligatures w14:val="standardContextual"/>
              </w:rPr>
              <w:tab/>
            </w:r>
            <w:r w:rsidRPr="00C8232C">
              <w:rPr>
                <w:rStyle w:val="Hyperlink"/>
                <w:noProof/>
              </w:rPr>
              <w:t>Compliance Audits</w:t>
            </w:r>
            <w:r>
              <w:rPr>
                <w:noProof/>
                <w:webHidden/>
              </w:rPr>
              <w:tab/>
            </w:r>
            <w:r>
              <w:rPr>
                <w:noProof/>
                <w:webHidden/>
              </w:rPr>
              <w:fldChar w:fldCharType="begin"/>
            </w:r>
            <w:r>
              <w:rPr>
                <w:noProof/>
                <w:webHidden/>
              </w:rPr>
              <w:instrText xml:space="preserve"> PAGEREF _Toc209003055 \h </w:instrText>
            </w:r>
            <w:r>
              <w:rPr>
                <w:noProof/>
                <w:webHidden/>
              </w:rPr>
            </w:r>
            <w:r>
              <w:rPr>
                <w:noProof/>
                <w:webHidden/>
              </w:rPr>
              <w:fldChar w:fldCharType="separate"/>
            </w:r>
            <w:r w:rsidR="00FC0FF7">
              <w:rPr>
                <w:noProof/>
                <w:webHidden/>
              </w:rPr>
              <w:t>23</w:t>
            </w:r>
            <w:r>
              <w:rPr>
                <w:noProof/>
                <w:webHidden/>
              </w:rPr>
              <w:fldChar w:fldCharType="end"/>
            </w:r>
          </w:hyperlink>
        </w:p>
        <w:p w14:paraId="5D7377CE" w14:textId="3E3623C8" w:rsidR="000910E7" w:rsidRDefault="000910E7">
          <w:pPr>
            <w:pStyle w:val="TOC3"/>
            <w:rPr>
              <w:rFonts w:eastAsiaTheme="minorEastAsia"/>
              <w:noProof/>
              <w:kern w:val="2"/>
              <w:sz w:val="24"/>
              <w:szCs w:val="24"/>
              <w14:ligatures w14:val="standardContextual"/>
            </w:rPr>
          </w:pPr>
          <w:hyperlink w:anchor="_Toc209003056" w:history="1">
            <w:r w:rsidRPr="00C8232C">
              <w:rPr>
                <w:rStyle w:val="Hyperlink"/>
                <w:noProof/>
              </w:rPr>
              <w:t>2.5.2</w:t>
            </w:r>
            <w:r>
              <w:rPr>
                <w:rFonts w:eastAsiaTheme="minorEastAsia"/>
                <w:noProof/>
                <w:kern w:val="2"/>
                <w:sz w:val="24"/>
                <w:szCs w:val="24"/>
                <w14:ligatures w14:val="standardContextual"/>
              </w:rPr>
              <w:tab/>
            </w:r>
            <w:r w:rsidRPr="00C8232C">
              <w:rPr>
                <w:rStyle w:val="Hyperlink"/>
                <w:noProof/>
              </w:rPr>
              <w:t>Complaint Investigation</w:t>
            </w:r>
            <w:r>
              <w:rPr>
                <w:noProof/>
                <w:webHidden/>
              </w:rPr>
              <w:tab/>
            </w:r>
            <w:r>
              <w:rPr>
                <w:noProof/>
                <w:webHidden/>
              </w:rPr>
              <w:fldChar w:fldCharType="begin"/>
            </w:r>
            <w:r>
              <w:rPr>
                <w:noProof/>
                <w:webHidden/>
              </w:rPr>
              <w:instrText xml:space="preserve"> PAGEREF _Toc209003056 \h </w:instrText>
            </w:r>
            <w:r>
              <w:rPr>
                <w:noProof/>
                <w:webHidden/>
              </w:rPr>
            </w:r>
            <w:r>
              <w:rPr>
                <w:noProof/>
                <w:webHidden/>
              </w:rPr>
              <w:fldChar w:fldCharType="separate"/>
            </w:r>
            <w:r w:rsidR="00FC0FF7">
              <w:rPr>
                <w:noProof/>
                <w:webHidden/>
              </w:rPr>
              <w:t>24</w:t>
            </w:r>
            <w:r>
              <w:rPr>
                <w:noProof/>
                <w:webHidden/>
              </w:rPr>
              <w:fldChar w:fldCharType="end"/>
            </w:r>
          </w:hyperlink>
        </w:p>
        <w:p w14:paraId="31C80416" w14:textId="42215F96" w:rsidR="000910E7" w:rsidRDefault="000910E7">
          <w:pPr>
            <w:pStyle w:val="TOC3"/>
            <w:rPr>
              <w:rFonts w:eastAsiaTheme="minorEastAsia"/>
              <w:noProof/>
              <w:kern w:val="2"/>
              <w:sz w:val="24"/>
              <w:szCs w:val="24"/>
              <w14:ligatures w14:val="standardContextual"/>
            </w:rPr>
          </w:pPr>
          <w:hyperlink w:anchor="_Toc209003057" w:history="1">
            <w:r w:rsidRPr="00C8232C">
              <w:rPr>
                <w:rStyle w:val="Hyperlink"/>
                <w:noProof/>
              </w:rPr>
              <w:t>2.5.3</w:t>
            </w:r>
            <w:r>
              <w:rPr>
                <w:rFonts w:eastAsiaTheme="minorEastAsia"/>
                <w:noProof/>
                <w:kern w:val="2"/>
                <w:sz w:val="24"/>
                <w:szCs w:val="24"/>
                <w14:ligatures w14:val="standardContextual"/>
              </w:rPr>
              <w:tab/>
            </w:r>
            <w:r w:rsidRPr="00C8232C">
              <w:rPr>
                <w:rStyle w:val="Hyperlink"/>
                <w:noProof/>
              </w:rPr>
              <w:t>Finding of Noncompliance</w:t>
            </w:r>
            <w:r>
              <w:rPr>
                <w:noProof/>
                <w:webHidden/>
              </w:rPr>
              <w:tab/>
            </w:r>
            <w:r>
              <w:rPr>
                <w:noProof/>
                <w:webHidden/>
              </w:rPr>
              <w:fldChar w:fldCharType="begin"/>
            </w:r>
            <w:r>
              <w:rPr>
                <w:noProof/>
                <w:webHidden/>
              </w:rPr>
              <w:instrText xml:space="preserve"> PAGEREF _Toc209003057 \h </w:instrText>
            </w:r>
            <w:r>
              <w:rPr>
                <w:noProof/>
                <w:webHidden/>
              </w:rPr>
            </w:r>
            <w:r>
              <w:rPr>
                <w:noProof/>
                <w:webHidden/>
              </w:rPr>
              <w:fldChar w:fldCharType="separate"/>
            </w:r>
            <w:r w:rsidR="00FC0FF7">
              <w:rPr>
                <w:noProof/>
                <w:webHidden/>
              </w:rPr>
              <w:t>24</w:t>
            </w:r>
            <w:r>
              <w:rPr>
                <w:noProof/>
                <w:webHidden/>
              </w:rPr>
              <w:fldChar w:fldCharType="end"/>
            </w:r>
          </w:hyperlink>
        </w:p>
        <w:p w14:paraId="61518932" w14:textId="23A141DE" w:rsidR="000910E7" w:rsidRDefault="000910E7">
          <w:pPr>
            <w:pStyle w:val="TOC3"/>
            <w:rPr>
              <w:rFonts w:eastAsiaTheme="minorEastAsia"/>
              <w:noProof/>
              <w:kern w:val="2"/>
              <w:sz w:val="24"/>
              <w:szCs w:val="24"/>
              <w14:ligatures w14:val="standardContextual"/>
            </w:rPr>
          </w:pPr>
          <w:hyperlink w:anchor="_Toc209003058" w:history="1">
            <w:r w:rsidRPr="00C8232C">
              <w:rPr>
                <w:rStyle w:val="Hyperlink"/>
                <w:noProof/>
              </w:rPr>
              <w:t>2.5.4</w:t>
            </w:r>
            <w:r>
              <w:rPr>
                <w:rFonts w:eastAsiaTheme="minorEastAsia"/>
                <w:noProof/>
                <w:kern w:val="2"/>
                <w:sz w:val="24"/>
                <w:szCs w:val="24"/>
                <w14:ligatures w14:val="standardContextual"/>
              </w:rPr>
              <w:tab/>
            </w:r>
            <w:r w:rsidRPr="00C8232C">
              <w:rPr>
                <w:rStyle w:val="Hyperlink"/>
                <w:noProof/>
              </w:rPr>
              <w:t>Suspension</w:t>
            </w:r>
            <w:r>
              <w:rPr>
                <w:noProof/>
                <w:webHidden/>
              </w:rPr>
              <w:tab/>
            </w:r>
            <w:r>
              <w:rPr>
                <w:noProof/>
                <w:webHidden/>
              </w:rPr>
              <w:fldChar w:fldCharType="begin"/>
            </w:r>
            <w:r>
              <w:rPr>
                <w:noProof/>
                <w:webHidden/>
              </w:rPr>
              <w:instrText xml:space="preserve"> PAGEREF _Toc209003058 \h </w:instrText>
            </w:r>
            <w:r>
              <w:rPr>
                <w:noProof/>
                <w:webHidden/>
              </w:rPr>
            </w:r>
            <w:r>
              <w:rPr>
                <w:noProof/>
                <w:webHidden/>
              </w:rPr>
              <w:fldChar w:fldCharType="separate"/>
            </w:r>
            <w:r w:rsidR="00FC0FF7">
              <w:rPr>
                <w:noProof/>
                <w:webHidden/>
              </w:rPr>
              <w:t>25</w:t>
            </w:r>
            <w:r>
              <w:rPr>
                <w:noProof/>
                <w:webHidden/>
              </w:rPr>
              <w:fldChar w:fldCharType="end"/>
            </w:r>
          </w:hyperlink>
        </w:p>
        <w:p w14:paraId="10092EC4" w14:textId="543BF224" w:rsidR="000910E7" w:rsidRDefault="000910E7">
          <w:pPr>
            <w:pStyle w:val="TOC3"/>
            <w:rPr>
              <w:rFonts w:eastAsiaTheme="minorEastAsia"/>
              <w:noProof/>
              <w:kern w:val="2"/>
              <w:sz w:val="24"/>
              <w:szCs w:val="24"/>
              <w14:ligatures w14:val="standardContextual"/>
            </w:rPr>
          </w:pPr>
          <w:hyperlink w:anchor="_Toc209003059" w:history="1">
            <w:r w:rsidRPr="00C8232C">
              <w:rPr>
                <w:rStyle w:val="Hyperlink"/>
                <w:noProof/>
              </w:rPr>
              <w:t>2.5.5</w:t>
            </w:r>
            <w:r>
              <w:rPr>
                <w:rFonts w:eastAsiaTheme="minorEastAsia"/>
                <w:noProof/>
                <w:kern w:val="2"/>
                <w:sz w:val="24"/>
                <w:szCs w:val="24"/>
                <w14:ligatures w14:val="standardContextual"/>
              </w:rPr>
              <w:tab/>
            </w:r>
            <w:r w:rsidRPr="00C8232C">
              <w:rPr>
                <w:rStyle w:val="Hyperlink"/>
                <w:noProof/>
              </w:rPr>
              <w:t>Decertification</w:t>
            </w:r>
            <w:r>
              <w:rPr>
                <w:noProof/>
                <w:webHidden/>
              </w:rPr>
              <w:tab/>
            </w:r>
            <w:r>
              <w:rPr>
                <w:noProof/>
                <w:webHidden/>
              </w:rPr>
              <w:fldChar w:fldCharType="begin"/>
            </w:r>
            <w:r>
              <w:rPr>
                <w:noProof/>
                <w:webHidden/>
              </w:rPr>
              <w:instrText xml:space="preserve"> PAGEREF _Toc209003059 \h </w:instrText>
            </w:r>
            <w:r>
              <w:rPr>
                <w:noProof/>
                <w:webHidden/>
              </w:rPr>
            </w:r>
            <w:r>
              <w:rPr>
                <w:noProof/>
                <w:webHidden/>
              </w:rPr>
              <w:fldChar w:fldCharType="separate"/>
            </w:r>
            <w:r w:rsidR="00FC0FF7">
              <w:rPr>
                <w:noProof/>
                <w:webHidden/>
              </w:rPr>
              <w:t>25</w:t>
            </w:r>
            <w:r>
              <w:rPr>
                <w:noProof/>
                <w:webHidden/>
              </w:rPr>
              <w:fldChar w:fldCharType="end"/>
            </w:r>
          </w:hyperlink>
        </w:p>
        <w:p w14:paraId="4B53C262" w14:textId="181E984A" w:rsidR="000910E7" w:rsidRDefault="000910E7">
          <w:pPr>
            <w:pStyle w:val="TOC1"/>
            <w:rPr>
              <w:rFonts w:eastAsiaTheme="minorEastAsia"/>
              <w:b w:val="0"/>
              <w:kern w:val="2"/>
              <w:sz w:val="24"/>
              <w:szCs w:val="24"/>
              <w14:ligatures w14:val="standardContextual"/>
            </w:rPr>
          </w:pPr>
          <w:hyperlink w:anchor="_Toc209003060" w:history="1">
            <w:r w:rsidRPr="00C8232C">
              <w:rPr>
                <w:rStyle w:val="Hyperlink"/>
              </w:rPr>
              <w:t>3</w:t>
            </w:r>
            <w:r>
              <w:rPr>
                <w:rFonts w:eastAsiaTheme="minorEastAsia"/>
                <w:b w:val="0"/>
                <w:kern w:val="2"/>
                <w:sz w:val="24"/>
                <w:szCs w:val="24"/>
                <w14:ligatures w14:val="standardContextual"/>
              </w:rPr>
              <w:tab/>
            </w:r>
            <w:r w:rsidRPr="00C8232C">
              <w:rPr>
                <w:rStyle w:val="Hyperlink"/>
              </w:rPr>
              <w:t>Insurance Company Policies</w:t>
            </w:r>
            <w:r>
              <w:rPr>
                <w:webHidden/>
              </w:rPr>
              <w:tab/>
            </w:r>
            <w:r>
              <w:rPr>
                <w:webHidden/>
              </w:rPr>
              <w:fldChar w:fldCharType="begin"/>
            </w:r>
            <w:r>
              <w:rPr>
                <w:webHidden/>
              </w:rPr>
              <w:instrText xml:space="preserve"> PAGEREF _Toc209003060 \h </w:instrText>
            </w:r>
            <w:r>
              <w:rPr>
                <w:webHidden/>
              </w:rPr>
            </w:r>
            <w:r>
              <w:rPr>
                <w:webHidden/>
              </w:rPr>
              <w:fldChar w:fldCharType="separate"/>
            </w:r>
            <w:r w:rsidR="00FC0FF7">
              <w:rPr>
                <w:webHidden/>
              </w:rPr>
              <w:t>26</w:t>
            </w:r>
            <w:r>
              <w:rPr>
                <w:webHidden/>
              </w:rPr>
              <w:fldChar w:fldCharType="end"/>
            </w:r>
          </w:hyperlink>
        </w:p>
        <w:p w14:paraId="675517BE" w14:textId="68FE14D5" w:rsidR="000910E7" w:rsidRDefault="000910E7">
          <w:pPr>
            <w:pStyle w:val="TOC2"/>
            <w:rPr>
              <w:rFonts w:eastAsiaTheme="minorEastAsia"/>
              <w:noProof/>
              <w:kern w:val="2"/>
              <w:sz w:val="24"/>
              <w:szCs w:val="24"/>
              <w14:ligatures w14:val="standardContextual"/>
            </w:rPr>
          </w:pPr>
          <w:hyperlink w:anchor="_Toc209003061" w:history="1">
            <w:r w:rsidRPr="00C8232C">
              <w:rPr>
                <w:rStyle w:val="Hyperlink"/>
                <w:noProof/>
              </w:rPr>
              <w:t>3.1</w:t>
            </w:r>
            <w:r>
              <w:rPr>
                <w:rFonts w:eastAsiaTheme="minorEastAsia"/>
                <w:noProof/>
                <w:kern w:val="2"/>
                <w:sz w:val="24"/>
                <w:szCs w:val="24"/>
                <w14:ligatures w14:val="standardContextual"/>
              </w:rPr>
              <w:tab/>
            </w:r>
            <w:r w:rsidRPr="00C8232C">
              <w:rPr>
                <w:rStyle w:val="Hyperlink"/>
                <w:noProof/>
              </w:rPr>
              <w:t>Role of Insurance Companies in Georgia Access</w:t>
            </w:r>
            <w:r>
              <w:rPr>
                <w:noProof/>
                <w:webHidden/>
              </w:rPr>
              <w:tab/>
            </w:r>
            <w:r>
              <w:rPr>
                <w:noProof/>
                <w:webHidden/>
              </w:rPr>
              <w:fldChar w:fldCharType="begin"/>
            </w:r>
            <w:r>
              <w:rPr>
                <w:noProof/>
                <w:webHidden/>
              </w:rPr>
              <w:instrText xml:space="preserve"> PAGEREF _Toc209003061 \h </w:instrText>
            </w:r>
            <w:r>
              <w:rPr>
                <w:noProof/>
                <w:webHidden/>
              </w:rPr>
            </w:r>
            <w:r>
              <w:rPr>
                <w:noProof/>
                <w:webHidden/>
              </w:rPr>
              <w:fldChar w:fldCharType="separate"/>
            </w:r>
            <w:r w:rsidR="00FC0FF7">
              <w:rPr>
                <w:noProof/>
                <w:webHidden/>
              </w:rPr>
              <w:t>26</w:t>
            </w:r>
            <w:r>
              <w:rPr>
                <w:noProof/>
                <w:webHidden/>
              </w:rPr>
              <w:fldChar w:fldCharType="end"/>
            </w:r>
          </w:hyperlink>
        </w:p>
        <w:p w14:paraId="467CD4AD" w14:textId="144AC7CE" w:rsidR="000910E7" w:rsidRDefault="000910E7">
          <w:pPr>
            <w:pStyle w:val="TOC2"/>
            <w:rPr>
              <w:rFonts w:eastAsiaTheme="minorEastAsia"/>
              <w:noProof/>
              <w:kern w:val="2"/>
              <w:sz w:val="24"/>
              <w:szCs w:val="24"/>
              <w14:ligatures w14:val="standardContextual"/>
            </w:rPr>
          </w:pPr>
          <w:hyperlink w:anchor="_Toc209003062" w:history="1">
            <w:r w:rsidRPr="00C8232C">
              <w:rPr>
                <w:rStyle w:val="Hyperlink"/>
                <w:noProof/>
              </w:rPr>
              <w:t>3.2</w:t>
            </w:r>
            <w:r>
              <w:rPr>
                <w:rFonts w:eastAsiaTheme="minorEastAsia"/>
                <w:noProof/>
                <w:kern w:val="2"/>
                <w:sz w:val="24"/>
                <w:szCs w:val="24"/>
                <w14:ligatures w14:val="standardContextual"/>
              </w:rPr>
              <w:tab/>
            </w:r>
            <w:r w:rsidRPr="00C8232C">
              <w:rPr>
                <w:rStyle w:val="Hyperlink"/>
                <w:noProof/>
              </w:rPr>
              <w:t>Plan Management</w:t>
            </w:r>
            <w:r>
              <w:rPr>
                <w:noProof/>
                <w:webHidden/>
              </w:rPr>
              <w:tab/>
            </w:r>
            <w:r>
              <w:rPr>
                <w:noProof/>
                <w:webHidden/>
              </w:rPr>
              <w:fldChar w:fldCharType="begin"/>
            </w:r>
            <w:r>
              <w:rPr>
                <w:noProof/>
                <w:webHidden/>
              </w:rPr>
              <w:instrText xml:space="preserve"> PAGEREF _Toc209003062 \h </w:instrText>
            </w:r>
            <w:r>
              <w:rPr>
                <w:noProof/>
                <w:webHidden/>
              </w:rPr>
            </w:r>
            <w:r>
              <w:rPr>
                <w:noProof/>
                <w:webHidden/>
              </w:rPr>
              <w:fldChar w:fldCharType="separate"/>
            </w:r>
            <w:r w:rsidR="00FC0FF7">
              <w:rPr>
                <w:noProof/>
                <w:webHidden/>
              </w:rPr>
              <w:t>26</w:t>
            </w:r>
            <w:r>
              <w:rPr>
                <w:noProof/>
                <w:webHidden/>
              </w:rPr>
              <w:fldChar w:fldCharType="end"/>
            </w:r>
          </w:hyperlink>
        </w:p>
        <w:p w14:paraId="3DF7C5F7" w14:textId="10D4F9BC" w:rsidR="000910E7" w:rsidRDefault="000910E7">
          <w:pPr>
            <w:pStyle w:val="TOC3"/>
            <w:rPr>
              <w:rFonts w:eastAsiaTheme="minorEastAsia"/>
              <w:noProof/>
              <w:kern w:val="2"/>
              <w:sz w:val="24"/>
              <w:szCs w:val="24"/>
              <w14:ligatures w14:val="standardContextual"/>
            </w:rPr>
          </w:pPr>
          <w:hyperlink w:anchor="_Toc209003063" w:history="1">
            <w:r w:rsidRPr="00C8232C">
              <w:rPr>
                <w:rStyle w:val="Hyperlink"/>
                <w:noProof/>
              </w:rPr>
              <w:t>3.2.1</w:t>
            </w:r>
            <w:r>
              <w:rPr>
                <w:rFonts w:eastAsiaTheme="minorEastAsia"/>
                <w:noProof/>
                <w:kern w:val="2"/>
                <w:sz w:val="24"/>
                <w:szCs w:val="24"/>
                <w14:ligatures w14:val="standardContextual"/>
              </w:rPr>
              <w:tab/>
            </w:r>
            <w:r w:rsidRPr="00C8232C">
              <w:rPr>
                <w:rStyle w:val="Hyperlink"/>
                <w:noProof/>
              </w:rPr>
              <w:t>QHP Certification Preparation</w:t>
            </w:r>
            <w:r>
              <w:rPr>
                <w:noProof/>
                <w:webHidden/>
              </w:rPr>
              <w:tab/>
            </w:r>
            <w:r>
              <w:rPr>
                <w:noProof/>
                <w:webHidden/>
              </w:rPr>
              <w:fldChar w:fldCharType="begin"/>
            </w:r>
            <w:r>
              <w:rPr>
                <w:noProof/>
                <w:webHidden/>
              </w:rPr>
              <w:instrText xml:space="preserve"> PAGEREF _Toc209003063 \h </w:instrText>
            </w:r>
            <w:r>
              <w:rPr>
                <w:noProof/>
                <w:webHidden/>
              </w:rPr>
            </w:r>
            <w:r>
              <w:rPr>
                <w:noProof/>
                <w:webHidden/>
              </w:rPr>
              <w:fldChar w:fldCharType="separate"/>
            </w:r>
            <w:r w:rsidR="00FC0FF7">
              <w:rPr>
                <w:noProof/>
                <w:webHidden/>
              </w:rPr>
              <w:t>26</w:t>
            </w:r>
            <w:r>
              <w:rPr>
                <w:noProof/>
                <w:webHidden/>
              </w:rPr>
              <w:fldChar w:fldCharType="end"/>
            </w:r>
          </w:hyperlink>
        </w:p>
        <w:p w14:paraId="65727BC1" w14:textId="448BBD34" w:rsidR="000910E7" w:rsidRDefault="000910E7">
          <w:pPr>
            <w:pStyle w:val="TOC3"/>
            <w:rPr>
              <w:rFonts w:eastAsiaTheme="minorEastAsia"/>
              <w:noProof/>
              <w:kern w:val="2"/>
              <w:sz w:val="24"/>
              <w:szCs w:val="24"/>
              <w14:ligatures w14:val="standardContextual"/>
            </w:rPr>
          </w:pPr>
          <w:hyperlink w:anchor="_Toc209003064" w:history="1">
            <w:r w:rsidRPr="00C8232C">
              <w:rPr>
                <w:rStyle w:val="Hyperlink"/>
                <w:noProof/>
              </w:rPr>
              <w:t>3.2.2</w:t>
            </w:r>
            <w:r>
              <w:rPr>
                <w:rFonts w:eastAsiaTheme="minorEastAsia"/>
                <w:noProof/>
                <w:kern w:val="2"/>
                <w:sz w:val="24"/>
                <w:szCs w:val="24"/>
                <w14:ligatures w14:val="standardContextual"/>
              </w:rPr>
              <w:tab/>
            </w:r>
            <w:r w:rsidRPr="00C8232C">
              <w:rPr>
                <w:rStyle w:val="Hyperlink"/>
                <w:noProof/>
              </w:rPr>
              <w:t>QHP Application Timeline</w:t>
            </w:r>
            <w:r>
              <w:rPr>
                <w:noProof/>
                <w:webHidden/>
              </w:rPr>
              <w:tab/>
            </w:r>
            <w:r>
              <w:rPr>
                <w:noProof/>
                <w:webHidden/>
              </w:rPr>
              <w:fldChar w:fldCharType="begin"/>
            </w:r>
            <w:r>
              <w:rPr>
                <w:noProof/>
                <w:webHidden/>
              </w:rPr>
              <w:instrText xml:space="preserve"> PAGEREF _Toc209003064 \h </w:instrText>
            </w:r>
            <w:r>
              <w:rPr>
                <w:noProof/>
                <w:webHidden/>
              </w:rPr>
            </w:r>
            <w:r>
              <w:rPr>
                <w:noProof/>
                <w:webHidden/>
              </w:rPr>
              <w:fldChar w:fldCharType="separate"/>
            </w:r>
            <w:r w:rsidR="00FC0FF7">
              <w:rPr>
                <w:noProof/>
                <w:webHidden/>
              </w:rPr>
              <w:t>26</w:t>
            </w:r>
            <w:r>
              <w:rPr>
                <w:noProof/>
                <w:webHidden/>
              </w:rPr>
              <w:fldChar w:fldCharType="end"/>
            </w:r>
          </w:hyperlink>
        </w:p>
        <w:p w14:paraId="740291F2" w14:textId="032F3A5E" w:rsidR="000910E7" w:rsidRDefault="000910E7">
          <w:pPr>
            <w:pStyle w:val="TOC3"/>
            <w:rPr>
              <w:rFonts w:eastAsiaTheme="minorEastAsia"/>
              <w:noProof/>
              <w:kern w:val="2"/>
              <w:sz w:val="24"/>
              <w:szCs w:val="24"/>
              <w14:ligatures w14:val="standardContextual"/>
            </w:rPr>
          </w:pPr>
          <w:hyperlink w:anchor="_Toc209003065" w:history="1">
            <w:r w:rsidRPr="00C8232C">
              <w:rPr>
                <w:rStyle w:val="Hyperlink"/>
                <w:noProof/>
              </w:rPr>
              <w:t>3.2.3</w:t>
            </w:r>
            <w:r>
              <w:rPr>
                <w:rFonts w:eastAsiaTheme="minorEastAsia"/>
                <w:noProof/>
                <w:kern w:val="2"/>
                <w:sz w:val="24"/>
                <w:szCs w:val="24"/>
                <w14:ligatures w14:val="standardContextual"/>
              </w:rPr>
              <w:tab/>
            </w:r>
            <w:r w:rsidRPr="00C8232C">
              <w:rPr>
                <w:rStyle w:val="Hyperlink"/>
                <w:noProof/>
              </w:rPr>
              <w:t>QHP Certification Criteria Development</w:t>
            </w:r>
            <w:r>
              <w:rPr>
                <w:noProof/>
                <w:webHidden/>
              </w:rPr>
              <w:tab/>
            </w:r>
            <w:r>
              <w:rPr>
                <w:noProof/>
                <w:webHidden/>
              </w:rPr>
              <w:fldChar w:fldCharType="begin"/>
            </w:r>
            <w:r>
              <w:rPr>
                <w:noProof/>
                <w:webHidden/>
              </w:rPr>
              <w:instrText xml:space="preserve"> PAGEREF _Toc209003065 \h </w:instrText>
            </w:r>
            <w:r>
              <w:rPr>
                <w:noProof/>
                <w:webHidden/>
              </w:rPr>
            </w:r>
            <w:r>
              <w:rPr>
                <w:noProof/>
                <w:webHidden/>
              </w:rPr>
              <w:fldChar w:fldCharType="separate"/>
            </w:r>
            <w:r w:rsidR="00FC0FF7">
              <w:rPr>
                <w:noProof/>
                <w:webHidden/>
              </w:rPr>
              <w:t>26</w:t>
            </w:r>
            <w:r>
              <w:rPr>
                <w:noProof/>
                <w:webHidden/>
              </w:rPr>
              <w:fldChar w:fldCharType="end"/>
            </w:r>
          </w:hyperlink>
        </w:p>
        <w:p w14:paraId="21A5F444" w14:textId="0ECDBB22" w:rsidR="000910E7" w:rsidRDefault="000910E7">
          <w:pPr>
            <w:pStyle w:val="TOC3"/>
            <w:rPr>
              <w:rFonts w:eastAsiaTheme="minorEastAsia"/>
              <w:noProof/>
              <w:kern w:val="2"/>
              <w:sz w:val="24"/>
              <w:szCs w:val="24"/>
              <w14:ligatures w14:val="standardContextual"/>
            </w:rPr>
          </w:pPr>
          <w:hyperlink w:anchor="_Toc209003066" w:history="1">
            <w:r w:rsidRPr="00C8232C">
              <w:rPr>
                <w:rStyle w:val="Hyperlink"/>
                <w:noProof/>
              </w:rPr>
              <w:t>3.2.4</w:t>
            </w:r>
            <w:r>
              <w:rPr>
                <w:rFonts w:eastAsiaTheme="minorEastAsia"/>
                <w:noProof/>
                <w:kern w:val="2"/>
                <w:sz w:val="24"/>
                <w:szCs w:val="24"/>
                <w14:ligatures w14:val="standardContextual"/>
              </w:rPr>
              <w:tab/>
            </w:r>
            <w:r w:rsidRPr="00C8232C">
              <w:rPr>
                <w:rStyle w:val="Hyperlink"/>
                <w:noProof/>
              </w:rPr>
              <w:t>Required Application Materials</w:t>
            </w:r>
            <w:r>
              <w:rPr>
                <w:noProof/>
                <w:webHidden/>
              </w:rPr>
              <w:tab/>
            </w:r>
            <w:r>
              <w:rPr>
                <w:noProof/>
                <w:webHidden/>
              </w:rPr>
              <w:fldChar w:fldCharType="begin"/>
            </w:r>
            <w:r>
              <w:rPr>
                <w:noProof/>
                <w:webHidden/>
              </w:rPr>
              <w:instrText xml:space="preserve"> PAGEREF _Toc209003066 \h </w:instrText>
            </w:r>
            <w:r>
              <w:rPr>
                <w:noProof/>
                <w:webHidden/>
              </w:rPr>
            </w:r>
            <w:r>
              <w:rPr>
                <w:noProof/>
                <w:webHidden/>
              </w:rPr>
              <w:fldChar w:fldCharType="separate"/>
            </w:r>
            <w:r w:rsidR="00FC0FF7">
              <w:rPr>
                <w:noProof/>
                <w:webHidden/>
              </w:rPr>
              <w:t>27</w:t>
            </w:r>
            <w:r>
              <w:rPr>
                <w:noProof/>
                <w:webHidden/>
              </w:rPr>
              <w:fldChar w:fldCharType="end"/>
            </w:r>
          </w:hyperlink>
        </w:p>
        <w:p w14:paraId="76989836" w14:textId="1EE8AB55" w:rsidR="000910E7" w:rsidRDefault="000910E7">
          <w:pPr>
            <w:pStyle w:val="TOC3"/>
            <w:rPr>
              <w:rFonts w:eastAsiaTheme="minorEastAsia"/>
              <w:noProof/>
              <w:kern w:val="2"/>
              <w:sz w:val="24"/>
              <w:szCs w:val="24"/>
              <w14:ligatures w14:val="standardContextual"/>
            </w:rPr>
          </w:pPr>
          <w:hyperlink w:anchor="_Toc209003067" w:history="1">
            <w:r w:rsidRPr="00C8232C">
              <w:rPr>
                <w:rStyle w:val="Hyperlink"/>
                <w:noProof/>
              </w:rPr>
              <w:t>3.2.5</w:t>
            </w:r>
            <w:r>
              <w:rPr>
                <w:rFonts w:eastAsiaTheme="minorEastAsia"/>
                <w:noProof/>
                <w:kern w:val="2"/>
                <w:sz w:val="24"/>
                <w:szCs w:val="24"/>
                <w14:ligatures w14:val="standardContextual"/>
              </w:rPr>
              <w:tab/>
            </w:r>
            <w:r w:rsidRPr="00C8232C">
              <w:rPr>
                <w:rStyle w:val="Hyperlink"/>
                <w:noProof/>
              </w:rPr>
              <w:t>QHP Application Submission and Reviews</w:t>
            </w:r>
            <w:r>
              <w:rPr>
                <w:noProof/>
                <w:webHidden/>
              </w:rPr>
              <w:tab/>
            </w:r>
            <w:r>
              <w:rPr>
                <w:noProof/>
                <w:webHidden/>
              </w:rPr>
              <w:fldChar w:fldCharType="begin"/>
            </w:r>
            <w:r>
              <w:rPr>
                <w:noProof/>
                <w:webHidden/>
              </w:rPr>
              <w:instrText xml:space="preserve"> PAGEREF _Toc209003067 \h </w:instrText>
            </w:r>
            <w:r>
              <w:rPr>
                <w:noProof/>
                <w:webHidden/>
              </w:rPr>
            </w:r>
            <w:r>
              <w:rPr>
                <w:noProof/>
                <w:webHidden/>
              </w:rPr>
              <w:fldChar w:fldCharType="separate"/>
            </w:r>
            <w:r w:rsidR="00FC0FF7">
              <w:rPr>
                <w:noProof/>
                <w:webHidden/>
              </w:rPr>
              <w:t>27</w:t>
            </w:r>
            <w:r>
              <w:rPr>
                <w:noProof/>
                <w:webHidden/>
              </w:rPr>
              <w:fldChar w:fldCharType="end"/>
            </w:r>
          </w:hyperlink>
        </w:p>
        <w:p w14:paraId="571442B5" w14:textId="5D5D9FC4" w:rsidR="000910E7" w:rsidRDefault="000910E7">
          <w:pPr>
            <w:pStyle w:val="TOC3"/>
            <w:rPr>
              <w:rFonts w:eastAsiaTheme="minorEastAsia"/>
              <w:noProof/>
              <w:kern w:val="2"/>
              <w:sz w:val="24"/>
              <w:szCs w:val="24"/>
              <w14:ligatures w14:val="standardContextual"/>
            </w:rPr>
          </w:pPr>
          <w:hyperlink w:anchor="_Toc209003068" w:history="1">
            <w:r w:rsidRPr="00C8232C">
              <w:rPr>
                <w:rStyle w:val="Hyperlink"/>
                <w:noProof/>
              </w:rPr>
              <w:t>3.2.6</w:t>
            </w:r>
            <w:r>
              <w:rPr>
                <w:rFonts w:eastAsiaTheme="minorEastAsia"/>
                <w:noProof/>
                <w:kern w:val="2"/>
                <w:sz w:val="24"/>
                <w:szCs w:val="24"/>
                <w14:ligatures w14:val="standardContextual"/>
              </w:rPr>
              <w:tab/>
            </w:r>
            <w:r w:rsidRPr="00C8232C">
              <w:rPr>
                <w:rStyle w:val="Hyperlink"/>
                <w:noProof/>
              </w:rPr>
              <w:t>QHP Certification &amp; Plan Data Finalization</w:t>
            </w:r>
            <w:r>
              <w:rPr>
                <w:noProof/>
                <w:webHidden/>
              </w:rPr>
              <w:tab/>
            </w:r>
            <w:r>
              <w:rPr>
                <w:noProof/>
                <w:webHidden/>
              </w:rPr>
              <w:fldChar w:fldCharType="begin"/>
            </w:r>
            <w:r>
              <w:rPr>
                <w:noProof/>
                <w:webHidden/>
              </w:rPr>
              <w:instrText xml:space="preserve"> PAGEREF _Toc209003068 \h </w:instrText>
            </w:r>
            <w:r>
              <w:rPr>
                <w:noProof/>
                <w:webHidden/>
              </w:rPr>
            </w:r>
            <w:r>
              <w:rPr>
                <w:noProof/>
                <w:webHidden/>
              </w:rPr>
              <w:fldChar w:fldCharType="separate"/>
            </w:r>
            <w:r w:rsidR="00FC0FF7">
              <w:rPr>
                <w:noProof/>
                <w:webHidden/>
              </w:rPr>
              <w:t>27</w:t>
            </w:r>
            <w:r>
              <w:rPr>
                <w:noProof/>
                <w:webHidden/>
              </w:rPr>
              <w:fldChar w:fldCharType="end"/>
            </w:r>
          </w:hyperlink>
        </w:p>
        <w:p w14:paraId="3F4FF398" w14:textId="5051EF08" w:rsidR="000910E7" w:rsidRDefault="000910E7">
          <w:pPr>
            <w:pStyle w:val="TOC3"/>
            <w:rPr>
              <w:rFonts w:eastAsiaTheme="minorEastAsia"/>
              <w:noProof/>
              <w:kern w:val="2"/>
              <w:sz w:val="24"/>
              <w:szCs w:val="24"/>
              <w14:ligatures w14:val="standardContextual"/>
            </w:rPr>
          </w:pPr>
          <w:hyperlink w:anchor="_Toc209003069" w:history="1">
            <w:r w:rsidRPr="00C8232C">
              <w:rPr>
                <w:rStyle w:val="Hyperlink"/>
                <w:noProof/>
              </w:rPr>
              <w:t>3.2.7</w:t>
            </w:r>
            <w:r>
              <w:rPr>
                <w:rFonts w:eastAsiaTheme="minorEastAsia"/>
                <w:noProof/>
                <w:kern w:val="2"/>
                <w:sz w:val="24"/>
                <w:szCs w:val="24"/>
                <w14:ligatures w14:val="standardContextual"/>
              </w:rPr>
              <w:tab/>
            </w:r>
            <w:r w:rsidRPr="00C8232C">
              <w:rPr>
                <w:rStyle w:val="Hyperlink"/>
                <w:noProof/>
              </w:rPr>
              <w:t>Data Changes and Plan Withdrawal</w:t>
            </w:r>
            <w:r>
              <w:rPr>
                <w:noProof/>
                <w:webHidden/>
              </w:rPr>
              <w:tab/>
            </w:r>
            <w:r>
              <w:rPr>
                <w:noProof/>
                <w:webHidden/>
              </w:rPr>
              <w:fldChar w:fldCharType="begin"/>
            </w:r>
            <w:r>
              <w:rPr>
                <w:noProof/>
                <w:webHidden/>
              </w:rPr>
              <w:instrText xml:space="preserve"> PAGEREF _Toc209003069 \h </w:instrText>
            </w:r>
            <w:r>
              <w:rPr>
                <w:noProof/>
                <w:webHidden/>
              </w:rPr>
            </w:r>
            <w:r>
              <w:rPr>
                <w:noProof/>
                <w:webHidden/>
              </w:rPr>
              <w:fldChar w:fldCharType="separate"/>
            </w:r>
            <w:r w:rsidR="00FC0FF7">
              <w:rPr>
                <w:noProof/>
                <w:webHidden/>
              </w:rPr>
              <w:t>28</w:t>
            </w:r>
            <w:r>
              <w:rPr>
                <w:noProof/>
                <w:webHidden/>
              </w:rPr>
              <w:fldChar w:fldCharType="end"/>
            </w:r>
          </w:hyperlink>
        </w:p>
        <w:p w14:paraId="7940DFE3" w14:textId="65602236" w:rsidR="000910E7" w:rsidRDefault="000910E7">
          <w:pPr>
            <w:pStyle w:val="TOC3"/>
            <w:rPr>
              <w:rFonts w:eastAsiaTheme="minorEastAsia"/>
              <w:noProof/>
              <w:kern w:val="2"/>
              <w:sz w:val="24"/>
              <w:szCs w:val="24"/>
              <w14:ligatures w14:val="standardContextual"/>
            </w:rPr>
          </w:pPr>
          <w:hyperlink w:anchor="_Toc209003070" w:history="1">
            <w:r w:rsidRPr="00C8232C">
              <w:rPr>
                <w:rStyle w:val="Hyperlink"/>
                <w:noProof/>
              </w:rPr>
              <w:t>3.2.8</w:t>
            </w:r>
            <w:r>
              <w:rPr>
                <w:rFonts w:eastAsiaTheme="minorEastAsia"/>
                <w:noProof/>
                <w:kern w:val="2"/>
                <w:sz w:val="24"/>
                <w:szCs w:val="24"/>
                <w14:ligatures w14:val="standardContextual"/>
              </w:rPr>
              <w:tab/>
            </w:r>
            <w:r w:rsidRPr="00C8232C">
              <w:rPr>
                <w:rStyle w:val="Hyperlink"/>
                <w:noProof/>
              </w:rPr>
              <w:t>Oversight and Compliance</w:t>
            </w:r>
            <w:r>
              <w:rPr>
                <w:noProof/>
                <w:webHidden/>
              </w:rPr>
              <w:tab/>
            </w:r>
            <w:r>
              <w:rPr>
                <w:noProof/>
                <w:webHidden/>
              </w:rPr>
              <w:fldChar w:fldCharType="begin"/>
            </w:r>
            <w:r>
              <w:rPr>
                <w:noProof/>
                <w:webHidden/>
              </w:rPr>
              <w:instrText xml:space="preserve"> PAGEREF _Toc209003070 \h </w:instrText>
            </w:r>
            <w:r>
              <w:rPr>
                <w:noProof/>
                <w:webHidden/>
              </w:rPr>
            </w:r>
            <w:r>
              <w:rPr>
                <w:noProof/>
                <w:webHidden/>
              </w:rPr>
              <w:fldChar w:fldCharType="separate"/>
            </w:r>
            <w:r w:rsidR="00FC0FF7">
              <w:rPr>
                <w:noProof/>
                <w:webHidden/>
              </w:rPr>
              <w:t>29</w:t>
            </w:r>
            <w:r>
              <w:rPr>
                <w:noProof/>
                <w:webHidden/>
              </w:rPr>
              <w:fldChar w:fldCharType="end"/>
            </w:r>
          </w:hyperlink>
        </w:p>
        <w:p w14:paraId="48DA0738" w14:textId="7E060E4F" w:rsidR="000910E7" w:rsidRDefault="000910E7">
          <w:pPr>
            <w:pStyle w:val="TOC2"/>
            <w:rPr>
              <w:rFonts w:eastAsiaTheme="minorEastAsia"/>
              <w:noProof/>
              <w:kern w:val="2"/>
              <w:sz w:val="24"/>
              <w:szCs w:val="24"/>
              <w14:ligatures w14:val="standardContextual"/>
            </w:rPr>
          </w:pPr>
          <w:hyperlink w:anchor="_Toc209003071" w:history="1">
            <w:r w:rsidRPr="00C8232C">
              <w:rPr>
                <w:rStyle w:val="Hyperlink"/>
                <w:noProof/>
              </w:rPr>
              <w:t>3.3</w:t>
            </w:r>
            <w:r>
              <w:rPr>
                <w:rFonts w:eastAsiaTheme="minorEastAsia"/>
                <w:noProof/>
                <w:kern w:val="2"/>
                <w:sz w:val="24"/>
                <w:szCs w:val="24"/>
                <w14:ligatures w14:val="standardContextual"/>
              </w:rPr>
              <w:tab/>
            </w:r>
            <w:r w:rsidRPr="00C8232C">
              <w:rPr>
                <w:rStyle w:val="Hyperlink"/>
                <w:noProof/>
              </w:rPr>
              <w:t>Enrollment Effectuation and Reconciliation</w:t>
            </w:r>
            <w:r>
              <w:rPr>
                <w:noProof/>
                <w:webHidden/>
              </w:rPr>
              <w:tab/>
            </w:r>
            <w:r>
              <w:rPr>
                <w:noProof/>
                <w:webHidden/>
              </w:rPr>
              <w:fldChar w:fldCharType="begin"/>
            </w:r>
            <w:r>
              <w:rPr>
                <w:noProof/>
                <w:webHidden/>
              </w:rPr>
              <w:instrText xml:space="preserve"> PAGEREF _Toc209003071 \h </w:instrText>
            </w:r>
            <w:r>
              <w:rPr>
                <w:noProof/>
                <w:webHidden/>
              </w:rPr>
            </w:r>
            <w:r>
              <w:rPr>
                <w:noProof/>
                <w:webHidden/>
              </w:rPr>
              <w:fldChar w:fldCharType="separate"/>
            </w:r>
            <w:r w:rsidR="00FC0FF7">
              <w:rPr>
                <w:noProof/>
                <w:webHidden/>
              </w:rPr>
              <w:t>30</w:t>
            </w:r>
            <w:r>
              <w:rPr>
                <w:noProof/>
                <w:webHidden/>
              </w:rPr>
              <w:fldChar w:fldCharType="end"/>
            </w:r>
          </w:hyperlink>
        </w:p>
        <w:p w14:paraId="6F53BDA4" w14:textId="7FDC6DFD" w:rsidR="000910E7" w:rsidRDefault="000910E7">
          <w:pPr>
            <w:pStyle w:val="TOC3"/>
            <w:rPr>
              <w:rFonts w:eastAsiaTheme="minorEastAsia"/>
              <w:noProof/>
              <w:kern w:val="2"/>
              <w:sz w:val="24"/>
              <w:szCs w:val="24"/>
              <w14:ligatures w14:val="standardContextual"/>
            </w:rPr>
          </w:pPr>
          <w:hyperlink w:anchor="_Toc209003072" w:history="1">
            <w:r w:rsidRPr="00C8232C">
              <w:rPr>
                <w:rStyle w:val="Hyperlink"/>
                <w:noProof/>
              </w:rPr>
              <w:t>3.3.1</w:t>
            </w:r>
            <w:r>
              <w:rPr>
                <w:rFonts w:eastAsiaTheme="minorEastAsia"/>
                <w:noProof/>
                <w:kern w:val="2"/>
                <w:sz w:val="24"/>
                <w:szCs w:val="24"/>
                <w14:ligatures w14:val="standardContextual"/>
              </w:rPr>
              <w:tab/>
            </w:r>
            <w:r w:rsidRPr="00C8232C">
              <w:rPr>
                <w:rStyle w:val="Hyperlink"/>
                <w:noProof/>
              </w:rPr>
              <w:t>Premium Payments</w:t>
            </w:r>
            <w:r>
              <w:rPr>
                <w:noProof/>
                <w:webHidden/>
              </w:rPr>
              <w:tab/>
            </w:r>
            <w:r>
              <w:rPr>
                <w:noProof/>
                <w:webHidden/>
              </w:rPr>
              <w:fldChar w:fldCharType="begin"/>
            </w:r>
            <w:r>
              <w:rPr>
                <w:noProof/>
                <w:webHidden/>
              </w:rPr>
              <w:instrText xml:space="preserve"> PAGEREF _Toc209003072 \h </w:instrText>
            </w:r>
            <w:r>
              <w:rPr>
                <w:noProof/>
                <w:webHidden/>
              </w:rPr>
            </w:r>
            <w:r>
              <w:rPr>
                <w:noProof/>
                <w:webHidden/>
              </w:rPr>
              <w:fldChar w:fldCharType="separate"/>
            </w:r>
            <w:r w:rsidR="00FC0FF7">
              <w:rPr>
                <w:noProof/>
                <w:webHidden/>
              </w:rPr>
              <w:t>30</w:t>
            </w:r>
            <w:r>
              <w:rPr>
                <w:noProof/>
                <w:webHidden/>
              </w:rPr>
              <w:fldChar w:fldCharType="end"/>
            </w:r>
          </w:hyperlink>
        </w:p>
        <w:p w14:paraId="7A9F35A9" w14:textId="7F6F1A59" w:rsidR="000910E7" w:rsidRDefault="000910E7">
          <w:pPr>
            <w:pStyle w:val="TOC3"/>
            <w:rPr>
              <w:rFonts w:eastAsiaTheme="minorEastAsia"/>
              <w:noProof/>
              <w:kern w:val="2"/>
              <w:sz w:val="24"/>
              <w:szCs w:val="24"/>
              <w14:ligatures w14:val="standardContextual"/>
            </w:rPr>
          </w:pPr>
          <w:hyperlink w:anchor="_Toc209003073" w:history="1">
            <w:r w:rsidRPr="00C8232C">
              <w:rPr>
                <w:rStyle w:val="Hyperlink"/>
                <w:noProof/>
              </w:rPr>
              <w:t>3.3.2</w:t>
            </w:r>
            <w:r>
              <w:rPr>
                <w:rFonts w:eastAsiaTheme="minorEastAsia"/>
                <w:noProof/>
                <w:kern w:val="2"/>
                <w:sz w:val="24"/>
                <w:szCs w:val="24"/>
                <w14:ligatures w14:val="standardContextual"/>
              </w:rPr>
              <w:tab/>
            </w:r>
            <w:r w:rsidRPr="00C8232C">
              <w:rPr>
                <w:rStyle w:val="Hyperlink"/>
                <w:noProof/>
              </w:rPr>
              <w:t>Disenrollment</w:t>
            </w:r>
            <w:r>
              <w:rPr>
                <w:noProof/>
                <w:webHidden/>
              </w:rPr>
              <w:tab/>
            </w:r>
            <w:r>
              <w:rPr>
                <w:noProof/>
                <w:webHidden/>
              </w:rPr>
              <w:fldChar w:fldCharType="begin"/>
            </w:r>
            <w:r>
              <w:rPr>
                <w:noProof/>
                <w:webHidden/>
              </w:rPr>
              <w:instrText xml:space="preserve"> PAGEREF _Toc209003073 \h </w:instrText>
            </w:r>
            <w:r>
              <w:rPr>
                <w:noProof/>
                <w:webHidden/>
              </w:rPr>
            </w:r>
            <w:r>
              <w:rPr>
                <w:noProof/>
                <w:webHidden/>
              </w:rPr>
              <w:fldChar w:fldCharType="separate"/>
            </w:r>
            <w:r w:rsidR="00FC0FF7">
              <w:rPr>
                <w:noProof/>
                <w:webHidden/>
              </w:rPr>
              <w:t>31</w:t>
            </w:r>
            <w:r>
              <w:rPr>
                <w:noProof/>
                <w:webHidden/>
              </w:rPr>
              <w:fldChar w:fldCharType="end"/>
            </w:r>
          </w:hyperlink>
        </w:p>
        <w:p w14:paraId="48DA829D" w14:textId="58960E10" w:rsidR="000910E7" w:rsidRDefault="000910E7">
          <w:pPr>
            <w:pStyle w:val="TOC3"/>
            <w:rPr>
              <w:rFonts w:eastAsiaTheme="minorEastAsia"/>
              <w:noProof/>
              <w:kern w:val="2"/>
              <w:sz w:val="24"/>
              <w:szCs w:val="24"/>
              <w14:ligatures w14:val="standardContextual"/>
            </w:rPr>
          </w:pPr>
          <w:hyperlink w:anchor="_Toc209003074" w:history="1">
            <w:r w:rsidRPr="00C8232C">
              <w:rPr>
                <w:rStyle w:val="Hyperlink"/>
                <w:i/>
                <w:iCs/>
                <w:noProof/>
              </w:rPr>
              <w:t>3.3.3</w:t>
            </w:r>
            <w:r>
              <w:rPr>
                <w:rFonts w:eastAsiaTheme="minorEastAsia"/>
                <w:noProof/>
                <w:kern w:val="2"/>
                <w:sz w:val="24"/>
                <w:szCs w:val="24"/>
                <w14:ligatures w14:val="standardContextual"/>
              </w:rPr>
              <w:tab/>
            </w:r>
            <w:r w:rsidRPr="00C8232C">
              <w:rPr>
                <w:rStyle w:val="Hyperlink"/>
                <w:i/>
                <w:iCs/>
                <w:noProof/>
              </w:rPr>
              <w:t>Changes in Coverage Effective Dates</w:t>
            </w:r>
            <w:r>
              <w:rPr>
                <w:noProof/>
                <w:webHidden/>
              </w:rPr>
              <w:tab/>
            </w:r>
            <w:r>
              <w:rPr>
                <w:noProof/>
                <w:webHidden/>
              </w:rPr>
              <w:fldChar w:fldCharType="begin"/>
            </w:r>
            <w:r>
              <w:rPr>
                <w:noProof/>
                <w:webHidden/>
              </w:rPr>
              <w:instrText xml:space="preserve"> PAGEREF _Toc209003074 \h </w:instrText>
            </w:r>
            <w:r>
              <w:rPr>
                <w:noProof/>
                <w:webHidden/>
              </w:rPr>
            </w:r>
            <w:r>
              <w:rPr>
                <w:noProof/>
                <w:webHidden/>
              </w:rPr>
              <w:fldChar w:fldCharType="separate"/>
            </w:r>
            <w:r w:rsidR="00FC0FF7">
              <w:rPr>
                <w:noProof/>
                <w:webHidden/>
              </w:rPr>
              <w:t>32</w:t>
            </w:r>
            <w:r>
              <w:rPr>
                <w:noProof/>
                <w:webHidden/>
              </w:rPr>
              <w:fldChar w:fldCharType="end"/>
            </w:r>
          </w:hyperlink>
        </w:p>
        <w:p w14:paraId="01D1A25F" w14:textId="7BF150AC" w:rsidR="000910E7" w:rsidRDefault="000910E7">
          <w:pPr>
            <w:pStyle w:val="TOC3"/>
            <w:rPr>
              <w:rFonts w:eastAsiaTheme="minorEastAsia"/>
              <w:noProof/>
              <w:kern w:val="2"/>
              <w:sz w:val="24"/>
              <w:szCs w:val="24"/>
              <w14:ligatures w14:val="standardContextual"/>
            </w:rPr>
          </w:pPr>
          <w:hyperlink w:anchor="_Toc209003075" w:history="1">
            <w:r w:rsidRPr="00C8232C">
              <w:rPr>
                <w:rStyle w:val="Hyperlink"/>
                <w:noProof/>
              </w:rPr>
              <w:t>3.3.4</w:t>
            </w:r>
            <w:r>
              <w:rPr>
                <w:rFonts w:eastAsiaTheme="minorEastAsia"/>
                <w:noProof/>
                <w:kern w:val="2"/>
                <w:sz w:val="24"/>
                <w:szCs w:val="24"/>
                <w14:ligatures w14:val="standardContextual"/>
              </w:rPr>
              <w:tab/>
            </w:r>
            <w:r w:rsidRPr="00C8232C">
              <w:rPr>
                <w:rStyle w:val="Hyperlink"/>
                <w:noProof/>
              </w:rPr>
              <w:t>Child-Only Policies</w:t>
            </w:r>
            <w:r>
              <w:rPr>
                <w:noProof/>
                <w:webHidden/>
              </w:rPr>
              <w:tab/>
            </w:r>
            <w:r>
              <w:rPr>
                <w:noProof/>
                <w:webHidden/>
              </w:rPr>
              <w:fldChar w:fldCharType="begin"/>
            </w:r>
            <w:r>
              <w:rPr>
                <w:noProof/>
                <w:webHidden/>
              </w:rPr>
              <w:instrText xml:space="preserve"> PAGEREF _Toc209003075 \h </w:instrText>
            </w:r>
            <w:r>
              <w:rPr>
                <w:noProof/>
                <w:webHidden/>
              </w:rPr>
            </w:r>
            <w:r>
              <w:rPr>
                <w:noProof/>
                <w:webHidden/>
              </w:rPr>
              <w:fldChar w:fldCharType="separate"/>
            </w:r>
            <w:r w:rsidR="00FC0FF7">
              <w:rPr>
                <w:noProof/>
                <w:webHidden/>
              </w:rPr>
              <w:t>33</w:t>
            </w:r>
            <w:r>
              <w:rPr>
                <w:noProof/>
                <w:webHidden/>
              </w:rPr>
              <w:fldChar w:fldCharType="end"/>
            </w:r>
          </w:hyperlink>
        </w:p>
        <w:p w14:paraId="624EC81D" w14:textId="60F55D72" w:rsidR="000910E7" w:rsidRDefault="000910E7">
          <w:pPr>
            <w:pStyle w:val="TOC3"/>
            <w:rPr>
              <w:rFonts w:eastAsiaTheme="minorEastAsia"/>
              <w:noProof/>
              <w:kern w:val="2"/>
              <w:sz w:val="24"/>
              <w:szCs w:val="24"/>
              <w14:ligatures w14:val="standardContextual"/>
            </w:rPr>
          </w:pPr>
          <w:hyperlink w:anchor="_Toc209003076" w:history="1">
            <w:r w:rsidRPr="00C8232C">
              <w:rPr>
                <w:rStyle w:val="Hyperlink"/>
                <w:noProof/>
              </w:rPr>
              <w:t>3.3.5</w:t>
            </w:r>
            <w:r>
              <w:rPr>
                <w:rFonts w:eastAsiaTheme="minorEastAsia"/>
                <w:noProof/>
                <w:kern w:val="2"/>
                <w:sz w:val="24"/>
                <w:szCs w:val="24"/>
                <w14:ligatures w14:val="standardContextual"/>
              </w:rPr>
              <w:tab/>
            </w:r>
            <w:r w:rsidRPr="00C8232C">
              <w:rPr>
                <w:rStyle w:val="Hyperlink"/>
                <w:noProof/>
              </w:rPr>
              <w:t>Enrollment Testing</w:t>
            </w:r>
            <w:r>
              <w:rPr>
                <w:noProof/>
                <w:webHidden/>
              </w:rPr>
              <w:tab/>
            </w:r>
            <w:r>
              <w:rPr>
                <w:noProof/>
                <w:webHidden/>
              </w:rPr>
              <w:fldChar w:fldCharType="begin"/>
            </w:r>
            <w:r>
              <w:rPr>
                <w:noProof/>
                <w:webHidden/>
              </w:rPr>
              <w:instrText xml:space="preserve"> PAGEREF _Toc209003076 \h </w:instrText>
            </w:r>
            <w:r>
              <w:rPr>
                <w:noProof/>
                <w:webHidden/>
              </w:rPr>
            </w:r>
            <w:r>
              <w:rPr>
                <w:noProof/>
                <w:webHidden/>
              </w:rPr>
              <w:fldChar w:fldCharType="separate"/>
            </w:r>
            <w:r w:rsidR="00FC0FF7">
              <w:rPr>
                <w:noProof/>
                <w:webHidden/>
              </w:rPr>
              <w:t>33</w:t>
            </w:r>
            <w:r>
              <w:rPr>
                <w:noProof/>
                <w:webHidden/>
              </w:rPr>
              <w:fldChar w:fldCharType="end"/>
            </w:r>
          </w:hyperlink>
        </w:p>
        <w:p w14:paraId="5AD038DA" w14:textId="035FE3D2" w:rsidR="00BA49DD" w:rsidRDefault="00BA49DD" w:rsidP="42C471D9">
          <w:pPr>
            <w:pStyle w:val="TOC3"/>
            <w:tabs>
              <w:tab w:val="clear" w:pos="9350"/>
              <w:tab w:val="left" w:pos="1095"/>
              <w:tab w:val="right" w:leader="dot" w:pos="9345"/>
            </w:tabs>
            <w:rPr>
              <w:rStyle w:val="Hyperlink"/>
              <w:noProof/>
              <w:kern w:val="2"/>
              <w14:ligatures w14:val="standardContextual"/>
            </w:rPr>
          </w:pPr>
          <w:r>
            <w:fldChar w:fldCharType="end"/>
          </w:r>
        </w:p>
      </w:sdtContent>
    </w:sdt>
    <w:p w14:paraId="3924DD84" w14:textId="0121F4A4" w:rsidR="00177680" w:rsidRPr="007932EC" w:rsidRDefault="00177680" w:rsidP="00BA49DD">
      <w:pPr>
        <w:pStyle w:val="TOCHeading"/>
        <w:numPr>
          <w:ilvl w:val="0"/>
          <w:numId w:val="0"/>
        </w:numPr>
        <w:spacing w:before="0" w:line="240" w:lineRule="auto"/>
      </w:pPr>
    </w:p>
    <w:p w14:paraId="1ADE21CF" w14:textId="77777777" w:rsidR="00CA232F" w:rsidRDefault="00CA232F" w:rsidP="00A53E91">
      <w:pPr>
        <w:spacing w:before="120" w:after="0" w:line="240" w:lineRule="auto"/>
        <w:rPr>
          <w:rFonts w:ascii="Arial" w:hAnsi="Arial"/>
          <w:b/>
          <w:color w:val="096080"/>
          <w:sz w:val="28"/>
        </w:rPr>
      </w:pPr>
      <w:r>
        <w:rPr>
          <w:rFonts w:ascii="Arial" w:hAnsi="Arial"/>
          <w:b/>
          <w:color w:val="096080"/>
          <w:sz w:val="28"/>
        </w:rPr>
        <w:br w:type="page"/>
      </w:r>
    </w:p>
    <w:p w14:paraId="492EDBD1" w14:textId="2FE26234" w:rsidR="00801D98" w:rsidRPr="0041667B" w:rsidRDefault="00801D98" w:rsidP="00A53E91">
      <w:pPr>
        <w:pStyle w:val="NoSpacing"/>
        <w:spacing w:before="0" w:after="240"/>
        <w:rPr>
          <w:rFonts w:ascii="Arial" w:hAnsi="Arial"/>
          <w:b/>
          <w:color w:val="096080"/>
          <w:sz w:val="28"/>
        </w:rPr>
      </w:pPr>
      <w:r w:rsidRPr="0041667B">
        <w:rPr>
          <w:rFonts w:ascii="Arial" w:hAnsi="Arial"/>
          <w:b/>
          <w:color w:val="096080"/>
          <w:sz w:val="28"/>
        </w:rPr>
        <w:lastRenderedPageBreak/>
        <w:t>Change Log</w:t>
      </w:r>
    </w:p>
    <w:tbl>
      <w:tblPr>
        <w:tblStyle w:val="TableGrid9"/>
        <w:tblW w:w="5000" w:type="pct"/>
        <w:tblLayout w:type="fixed"/>
        <w:tblLook w:val="04A0" w:firstRow="1" w:lastRow="0" w:firstColumn="1" w:lastColumn="0" w:noHBand="0" w:noVBand="1"/>
      </w:tblPr>
      <w:tblGrid>
        <w:gridCol w:w="1638"/>
        <w:gridCol w:w="1644"/>
        <w:gridCol w:w="1193"/>
        <w:gridCol w:w="4875"/>
      </w:tblGrid>
      <w:tr w:rsidR="00801D98" w:rsidRPr="00801D98" w14:paraId="662C1F28" w14:textId="77777777" w:rsidTr="4B395404">
        <w:trPr>
          <w:trHeight w:val="346"/>
        </w:trPr>
        <w:tc>
          <w:tcPr>
            <w:tcW w:w="876" w:type="pct"/>
            <w:shd w:val="clear" w:color="auto" w:fill="096080"/>
            <w:vAlign w:val="center"/>
          </w:tcPr>
          <w:p w14:paraId="25B3B6A5" w14:textId="77777777" w:rsidR="00801D98" w:rsidRPr="00801D98" w:rsidRDefault="00801D98" w:rsidP="00A53E91">
            <w:pPr>
              <w:spacing w:after="0" w:line="240" w:lineRule="auto"/>
              <w:jc w:val="center"/>
              <w:rPr>
                <w:b/>
                <w:bCs/>
                <w:color w:val="FFFFFF" w:themeColor="background1"/>
              </w:rPr>
            </w:pPr>
            <w:r w:rsidRPr="00801D98">
              <w:rPr>
                <w:b/>
                <w:bCs/>
                <w:color w:val="FFFFFF" w:themeColor="background1"/>
              </w:rPr>
              <w:t>Date</w:t>
            </w:r>
          </w:p>
        </w:tc>
        <w:tc>
          <w:tcPr>
            <w:tcW w:w="879" w:type="pct"/>
            <w:shd w:val="clear" w:color="auto" w:fill="096080"/>
            <w:vAlign w:val="center"/>
          </w:tcPr>
          <w:p w14:paraId="7A72A9FC" w14:textId="77777777" w:rsidR="00801D98" w:rsidRPr="00801D98" w:rsidRDefault="00801D98" w:rsidP="00A53E91">
            <w:pPr>
              <w:spacing w:after="0" w:line="240" w:lineRule="auto"/>
              <w:jc w:val="center"/>
              <w:rPr>
                <w:b/>
                <w:bCs/>
                <w:color w:val="FFFFFF" w:themeColor="background1"/>
              </w:rPr>
            </w:pPr>
            <w:r w:rsidRPr="00801D98">
              <w:rPr>
                <w:b/>
                <w:bCs/>
                <w:color w:val="FFFFFF" w:themeColor="background1"/>
              </w:rPr>
              <w:t>Modified By</w:t>
            </w:r>
          </w:p>
        </w:tc>
        <w:tc>
          <w:tcPr>
            <w:tcW w:w="638" w:type="pct"/>
            <w:shd w:val="clear" w:color="auto" w:fill="096080"/>
            <w:vAlign w:val="center"/>
          </w:tcPr>
          <w:p w14:paraId="1BF024C8" w14:textId="77777777" w:rsidR="00801D98" w:rsidRPr="00801D98" w:rsidRDefault="00801D98" w:rsidP="00A53E91">
            <w:pPr>
              <w:spacing w:after="0" w:line="240" w:lineRule="auto"/>
              <w:jc w:val="center"/>
              <w:rPr>
                <w:b/>
                <w:bCs/>
                <w:color w:val="FFFFFF" w:themeColor="background1"/>
              </w:rPr>
            </w:pPr>
            <w:r w:rsidRPr="00801D98">
              <w:rPr>
                <w:b/>
                <w:bCs/>
                <w:color w:val="FFFFFF" w:themeColor="background1"/>
              </w:rPr>
              <w:t>Sections</w:t>
            </w:r>
          </w:p>
        </w:tc>
        <w:tc>
          <w:tcPr>
            <w:tcW w:w="2607" w:type="pct"/>
            <w:shd w:val="clear" w:color="auto" w:fill="096080"/>
            <w:vAlign w:val="center"/>
          </w:tcPr>
          <w:p w14:paraId="66BFC66D" w14:textId="77777777" w:rsidR="00801D98" w:rsidRPr="00801D98" w:rsidRDefault="00801D98" w:rsidP="00A53E91">
            <w:pPr>
              <w:spacing w:after="0" w:line="240" w:lineRule="auto"/>
              <w:jc w:val="center"/>
              <w:rPr>
                <w:b/>
                <w:bCs/>
                <w:color w:val="FFFFFF" w:themeColor="background1"/>
              </w:rPr>
            </w:pPr>
            <w:r w:rsidRPr="00801D98">
              <w:rPr>
                <w:b/>
                <w:bCs/>
                <w:color w:val="FFFFFF" w:themeColor="background1"/>
              </w:rPr>
              <w:t>Program Change Description</w:t>
            </w:r>
          </w:p>
        </w:tc>
      </w:tr>
      <w:tr w:rsidR="006A538D" w:rsidRPr="00801D98" w14:paraId="4D21788A" w14:textId="77777777" w:rsidTr="4B395404">
        <w:trPr>
          <w:trHeight w:val="350"/>
        </w:trPr>
        <w:tc>
          <w:tcPr>
            <w:tcW w:w="876" w:type="pct"/>
            <w:vAlign w:val="center"/>
          </w:tcPr>
          <w:p w14:paraId="45B44063" w14:textId="378E50FF" w:rsidR="006A538D" w:rsidRPr="00801D98" w:rsidRDefault="00DB7608" w:rsidP="00A53E91">
            <w:pPr>
              <w:spacing w:after="0" w:line="240" w:lineRule="auto"/>
            </w:pPr>
            <w:r>
              <w:t>10/01/2024</w:t>
            </w:r>
          </w:p>
        </w:tc>
        <w:tc>
          <w:tcPr>
            <w:tcW w:w="879" w:type="pct"/>
            <w:vAlign w:val="center"/>
          </w:tcPr>
          <w:p w14:paraId="2F16DD4C" w14:textId="48F6BE13" w:rsidR="006A538D" w:rsidRPr="00801D98" w:rsidRDefault="00DB7608" w:rsidP="00A53E91">
            <w:pPr>
              <w:spacing w:after="0" w:line="240" w:lineRule="auto"/>
            </w:pPr>
            <w:r>
              <w:t>Georgia Access</w:t>
            </w:r>
          </w:p>
        </w:tc>
        <w:tc>
          <w:tcPr>
            <w:tcW w:w="638" w:type="pct"/>
            <w:vAlign w:val="center"/>
          </w:tcPr>
          <w:p w14:paraId="1B348374" w14:textId="6672F50D" w:rsidR="006A538D" w:rsidRPr="00801D98" w:rsidRDefault="006A538D" w:rsidP="00A53E91">
            <w:pPr>
              <w:spacing w:after="0" w:line="240" w:lineRule="auto"/>
            </w:pPr>
            <w:r>
              <w:t>N/A</w:t>
            </w:r>
          </w:p>
        </w:tc>
        <w:tc>
          <w:tcPr>
            <w:tcW w:w="2607" w:type="pct"/>
            <w:vAlign w:val="center"/>
          </w:tcPr>
          <w:p w14:paraId="48A3C09F" w14:textId="0B7DEDF4" w:rsidR="006A538D" w:rsidRPr="00801D98" w:rsidRDefault="006A538D" w:rsidP="00A53E91">
            <w:pPr>
              <w:spacing w:after="0" w:line="240" w:lineRule="auto"/>
            </w:pPr>
            <w:r>
              <w:t>Initial publication.</w:t>
            </w:r>
          </w:p>
        </w:tc>
      </w:tr>
      <w:tr w:rsidR="00DB7608" w:rsidRPr="00801D98" w14:paraId="3FCBCB80" w14:textId="77777777" w:rsidTr="4B395404">
        <w:trPr>
          <w:trHeight w:val="350"/>
        </w:trPr>
        <w:tc>
          <w:tcPr>
            <w:tcW w:w="876" w:type="pct"/>
            <w:vAlign w:val="center"/>
          </w:tcPr>
          <w:p w14:paraId="66F79059" w14:textId="4CC20717" w:rsidR="00DB7608" w:rsidRDefault="00DB7608" w:rsidP="00A53E91">
            <w:pPr>
              <w:spacing w:after="0" w:line="240" w:lineRule="auto"/>
            </w:pPr>
            <w:r>
              <w:t>11/0</w:t>
            </w:r>
            <w:r w:rsidR="00516D44">
              <w:t>7</w:t>
            </w:r>
            <w:r>
              <w:t>/2024</w:t>
            </w:r>
          </w:p>
        </w:tc>
        <w:tc>
          <w:tcPr>
            <w:tcW w:w="879" w:type="pct"/>
            <w:vAlign w:val="center"/>
          </w:tcPr>
          <w:p w14:paraId="4269918E" w14:textId="4D3316E9" w:rsidR="00DB7608" w:rsidRDefault="00DB7608" w:rsidP="00A53E91">
            <w:pPr>
              <w:spacing w:after="0" w:line="240" w:lineRule="auto"/>
            </w:pPr>
            <w:r>
              <w:t>Georgia Access</w:t>
            </w:r>
          </w:p>
        </w:tc>
        <w:tc>
          <w:tcPr>
            <w:tcW w:w="638" w:type="pct"/>
            <w:vAlign w:val="center"/>
          </w:tcPr>
          <w:p w14:paraId="6701CBA7" w14:textId="7C480E6A" w:rsidR="00DB7608" w:rsidRDefault="00516D44" w:rsidP="00A53E91">
            <w:pPr>
              <w:spacing w:after="0" w:line="240" w:lineRule="auto"/>
            </w:pPr>
            <w:r>
              <w:t>2.1, 3.3.2, 3.3.3</w:t>
            </w:r>
          </w:p>
        </w:tc>
        <w:tc>
          <w:tcPr>
            <w:tcW w:w="2607" w:type="pct"/>
            <w:vAlign w:val="center"/>
          </w:tcPr>
          <w:p w14:paraId="4AEEA20E" w14:textId="4FCB8910" w:rsidR="00516D44" w:rsidRDefault="00516D44" w:rsidP="00CD7710">
            <w:pPr>
              <w:spacing w:after="0" w:line="240" w:lineRule="auto"/>
            </w:pPr>
            <w:r>
              <w:t>2.1:</w:t>
            </w:r>
            <w:r w:rsidR="00BA49DD">
              <w:t xml:space="preserve"> Clarified federal </w:t>
            </w:r>
            <w:r w:rsidR="00CD7710">
              <w:t xml:space="preserve">and Georgia Access </w:t>
            </w:r>
            <w:r w:rsidR="00BA49DD">
              <w:t>regulations for web brokers and direct enrollment entities</w:t>
            </w:r>
            <w:r w:rsidR="00CD7710">
              <w:t xml:space="preserve">; </w:t>
            </w:r>
            <w:r>
              <w:t>3.3.2: Clarified CFR</w:t>
            </w:r>
            <w:r w:rsidR="00CD7710">
              <w:t xml:space="preserve"> for disenrollments; </w:t>
            </w:r>
            <w:r>
              <w:t>3.3.3: Added section</w:t>
            </w:r>
            <w:r w:rsidR="00CD7710">
              <w:t xml:space="preserve"> on changes in coverage effective dates</w:t>
            </w:r>
            <w:r>
              <w:t xml:space="preserve">. </w:t>
            </w:r>
          </w:p>
        </w:tc>
      </w:tr>
      <w:tr w:rsidR="675DB98E" w14:paraId="0A228344" w14:textId="77777777" w:rsidTr="4B395404">
        <w:trPr>
          <w:trHeight w:val="350"/>
        </w:trPr>
        <w:tc>
          <w:tcPr>
            <w:tcW w:w="876" w:type="pct"/>
            <w:vAlign w:val="center"/>
          </w:tcPr>
          <w:p w14:paraId="5A3388C0" w14:textId="6E6CDF66" w:rsidR="04DF6D5D" w:rsidRDefault="04DF6D5D" w:rsidP="675DB98E">
            <w:pPr>
              <w:spacing w:line="240" w:lineRule="auto"/>
            </w:pPr>
            <w:r>
              <w:t>7/14/2025</w:t>
            </w:r>
          </w:p>
        </w:tc>
        <w:tc>
          <w:tcPr>
            <w:tcW w:w="879" w:type="pct"/>
            <w:vAlign w:val="center"/>
          </w:tcPr>
          <w:p w14:paraId="2F447DB5" w14:textId="3D651AB4" w:rsidR="04DF6D5D" w:rsidRDefault="04DF6D5D" w:rsidP="675DB98E">
            <w:pPr>
              <w:spacing w:line="240" w:lineRule="auto"/>
            </w:pPr>
            <w:r>
              <w:t>Georgia Access</w:t>
            </w:r>
          </w:p>
        </w:tc>
        <w:tc>
          <w:tcPr>
            <w:tcW w:w="638" w:type="pct"/>
            <w:vAlign w:val="center"/>
          </w:tcPr>
          <w:p w14:paraId="0FBFD57E" w14:textId="3452BAF8" w:rsidR="04DF6D5D" w:rsidRDefault="04DF6D5D" w:rsidP="675DB98E">
            <w:pPr>
              <w:spacing w:line="240" w:lineRule="auto"/>
            </w:pPr>
            <w:r>
              <w:t>3.3.3.1</w:t>
            </w:r>
          </w:p>
        </w:tc>
        <w:tc>
          <w:tcPr>
            <w:tcW w:w="2607" w:type="pct"/>
            <w:vAlign w:val="center"/>
          </w:tcPr>
          <w:p w14:paraId="54248CB5" w14:textId="7467D52E" w:rsidR="04DF6D5D" w:rsidRDefault="04DF6D5D" w:rsidP="675DB98E">
            <w:pPr>
              <w:spacing w:line="240" w:lineRule="auto"/>
            </w:pPr>
            <w:r>
              <w:t>Added Age Rating and Re-rating Scenarios</w:t>
            </w:r>
          </w:p>
        </w:tc>
      </w:tr>
      <w:tr w:rsidR="000910E7" w14:paraId="7B081582" w14:textId="77777777" w:rsidTr="4B395404">
        <w:trPr>
          <w:trHeight w:val="350"/>
        </w:trPr>
        <w:tc>
          <w:tcPr>
            <w:tcW w:w="876" w:type="pct"/>
            <w:vAlign w:val="center"/>
          </w:tcPr>
          <w:p w14:paraId="09F3600E" w14:textId="2F433B8C" w:rsidR="000910E7" w:rsidRDefault="00AE06D3" w:rsidP="675DB98E">
            <w:pPr>
              <w:spacing w:line="240" w:lineRule="auto"/>
            </w:pPr>
            <w:r>
              <w:t>9/17/2025</w:t>
            </w:r>
          </w:p>
        </w:tc>
        <w:tc>
          <w:tcPr>
            <w:tcW w:w="879" w:type="pct"/>
            <w:vAlign w:val="center"/>
          </w:tcPr>
          <w:p w14:paraId="58B89EEC" w14:textId="6222F98E" w:rsidR="000910E7" w:rsidRDefault="00AE06D3" w:rsidP="675DB98E">
            <w:pPr>
              <w:spacing w:line="240" w:lineRule="auto"/>
            </w:pPr>
            <w:r>
              <w:t>Georgia Access</w:t>
            </w:r>
          </w:p>
        </w:tc>
        <w:tc>
          <w:tcPr>
            <w:tcW w:w="638" w:type="pct"/>
            <w:vAlign w:val="center"/>
          </w:tcPr>
          <w:p w14:paraId="3DB5B986" w14:textId="0DF2F2F8" w:rsidR="000910E7" w:rsidRDefault="008C1501" w:rsidP="675DB98E">
            <w:pPr>
              <w:spacing w:line="240" w:lineRule="auto"/>
            </w:pPr>
            <w:r>
              <w:t>3.3.4,3.3.5</w:t>
            </w:r>
          </w:p>
        </w:tc>
        <w:tc>
          <w:tcPr>
            <w:tcW w:w="2607" w:type="pct"/>
            <w:vAlign w:val="center"/>
          </w:tcPr>
          <w:p w14:paraId="7F9B11D5" w14:textId="575245D8" w:rsidR="000910E7" w:rsidRDefault="008C1501" w:rsidP="675DB98E">
            <w:pPr>
              <w:spacing w:line="240" w:lineRule="auto"/>
            </w:pPr>
            <w:r>
              <w:t>Added Child-only policy section in 3.3.4</w:t>
            </w:r>
            <w:r w:rsidR="00A96E88">
              <w:t>; Renumbered Enrollment Testing 3.3.5</w:t>
            </w:r>
            <w:r w:rsidR="004A18D8">
              <w:t>.</w:t>
            </w:r>
          </w:p>
        </w:tc>
      </w:tr>
      <w:tr w:rsidR="4B395404" w14:paraId="4114EBF5" w14:textId="77777777" w:rsidTr="4B395404">
        <w:trPr>
          <w:trHeight w:val="300"/>
        </w:trPr>
        <w:tc>
          <w:tcPr>
            <w:tcW w:w="1638" w:type="dxa"/>
            <w:vAlign w:val="center"/>
          </w:tcPr>
          <w:p w14:paraId="7C4D4F98" w14:textId="2CADE382" w:rsidR="39E51D90" w:rsidRDefault="39E51D90" w:rsidP="4B395404">
            <w:pPr>
              <w:spacing w:line="240" w:lineRule="auto"/>
            </w:pPr>
            <w:r>
              <w:t>12/5/2025</w:t>
            </w:r>
          </w:p>
        </w:tc>
        <w:tc>
          <w:tcPr>
            <w:tcW w:w="1644" w:type="dxa"/>
            <w:vAlign w:val="center"/>
          </w:tcPr>
          <w:p w14:paraId="5456E815" w14:textId="35799A2C" w:rsidR="39E51D90" w:rsidRDefault="39E51D90" w:rsidP="4B395404">
            <w:pPr>
              <w:spacing w:line="240" w:lineRule="auto"/>
            </w:pPr>
            <w:r>
              <w:t>Georgia Access</w:t>
            </w:r>
          </w:p>
        </w:tc>
        <w:tc>
          <w:tcPr>
            <w:tcW w:w="1193" w:type="dxa"/>
            <w:vAlign w:val="center"/>
          </w:tcPr>
          <w:p w14:paraId="365576B3" w14:textId="4009A427" w:rsidR="39E51D90" w:rsidRDefault="39E51D90" w:rsidP="4B395404">
            <w:pPr>
              <w:spacing w:line="240" w:lineRule="auto"/>
            </w:pPr>
            <w:r>
              <w:t>3.3.2</w:t>
            </w:r>
          </w:p>
        </w:tc>
        <w:tc>
          <w:tcPr>
            <w:tcW w:w="4875" w:type="dxa"/>
            <w:vAlign w:val="center"/>
          </w:tcPr>
          <w:p w14:paraId="45C4BEB9" w14:textId="73CCDE53" w:rsidR="39E51D90" w:rsidRDefault="39E51D90" w:rsidP="4B395404">
            <w:pPr>
              <w:spacing w:line="240" w:lineRule="auto"/>
            </w:pPr>
            <w:r>
              <w:t>Added language</w:t>
            </w:r>
            <w:r w:rsidR="60916574">
              <w:t xml:space="preserve"> regarding the Cancel Carry Forward process.</w:t>
            </w:r>
            <w:r w:rsidR="1A1E8369">
              <w:t xml:space="preserve"> Amended language concerning computation of premiums for child-only policies. </w:t>
            </w:r>
          </w:p>
        </w:tc>
      </w:tr>
    </w:tbl>
    <w:p w14:paraId="036AB074" w14:textId="40BA5B77" w:rsidR="00C826BB" w:rsidRDefault="00C826BB" w:rsidP="00A53E91">
      <w:pPr>
        <w:spacing w:before="120" w:after="0" w:line="240" w:lineRule="auto"/>
        <w:rPr>
          <w:rFonts w:ascii="Arial" w:eastAsiaTheme="majorEastAsia" w:hAnsi="Arial" w:cstheme="majorBidi"/>
          <w:b/>
          <w:color w:val="096080"/>
          <w:sz w:val="28"/>
          <w:szCs w:val="32"/>
        </w:rPr>
      </w:pPr>
    </w:p>
    <w:p w14:paraId="3BD48B6A" w14:textId="77777777" w:rsidR="00CA232F" w:rsidRDefault="00CA232F" w:rsidP="00A53E91">
      <w:pPr>
        <w:spacing w:before="120" w:after="0" w:line="240" w:lineRule="auto"/>
        <w:rPr>
          <w:rFonts w:ascii="Arial" w:eastAsiaTheme="majorEastAsia" w:hAnsi="Arial" w:cstheme="majorBidi"/>
          <w:b/>
          <w:color w:val="096080"/>
          <w:sz w:val="28"/>
          <w:szCs w:val="32"/>
        </w:rPr>
      </w:pPr>
      <w:bookmarkStart w:id="15" w:name="_Toc153964078"/>
      <w:r>
        <w:br w:type="page"/>
      </w:r>
    </w:p>
    <w:p w14:paraId="60A2810E" w14:textId="58BBE888" w:rsidR="00C826BB" w:rsidRPr="008E35EA" w:rsidRDefault="00C826BB" w:rsidP="42C471D9">
      <w:pPr>
        <w:pStyle w:val="Heading1"/>
        <w:spacing w:line="240" w:lineRule="auto"/>
      </w:pPr>
      <w:bookmarkStart w:id="16" w:name="_Toc209003029"/>
      <w:r>
        <w:lastRenderedPageBreak/>
        <w:t>Overview</w:t>
      </w:r>
      <w:bookmarkEnd w:id="15"/>
      <w:bookmarkEnd w:id="16"/>
    </w:p>
    <w:p w14:paraId="13B438C3" w14:textId="77777777" w:rsidR="00905A64" w:rsidRPr="00905A64" w:rsidRDefault="00905A64" w:rsidP="42C471D9">
      <w:pPr>
        <w:pStyle w:val="Heading2"/>
        <w:spacing w:line="240" w:lineRule="auto"/>
      </w:pPr>
      <w:bookmarkStart w:id="17" w:name="_Toc155616363"/>
      <w:bookmarkStart w:id="18" w:name="_Toc209003030"/>
      <w:bookmarkStart w:id="19" w:name="_Toc121299076"/>
      <w:bookmarkStart w:id="20" w:name="_Toc138950383"/>
      <w:bookmarkStart w:id="21" w:name="_Toc153964079"/>
      <w:bookmarkStart w:id="22" w:name="_Toc74669360"/>
      <w:bookmarkStart w:id="23" w:name="_Toc74669402"/>
      <w:bookmarkStart w:id="24" w:name="_Toc74671694"/>
      <w:bookmarkEnd w:id="14"/>
      <w:bookmarkEnd w:id="13"/>
      <w:r>
        <w:t>Purpose</w:t>
      </w:r>
      <w:bookmarkEnd w:id="17"/>
      <w:bookmarkEnd w:id="18"/>
    </w:p>
    <w:p w14:paraId="03F25A33" w14:textId="6EE7DAE3" w:rsidR="00905A64" w:rsidRPr="00166726" w:rsidRDefault="00905A64" w:rsidP="00A53E91">
      <w:pPr>
        <w:spacing w:line="240" w:lineRule="auto"/>
        <w:contextualSpacing/>
      </w:pPr>
      <w:r>
        <w:t xml:space="preserve">This document outlines the policies related to </w:t>
      </w:r>
      <w:r w:rsidR="00F1505C">
        <w:t>Enhanced Direct Enrollment (</w:t>
      </w:r>
      <w:r w:rsidR="00212305">
        <w:t>EDE</w:t>
      </w:r>
      <w:r w:rsidR="00F1505C">
        <w:t>)</w:t>
      </w:r>
      <w:r w:rsidR="00212305">
        <w:t xml:space="preserve"> Partners and insurance companies </w:t>
      </w:r>
      <w:r>
        <w:t xml:space="preserve">for Georgia’s State-based Exchange (SBE), Georgia Access. This document </w:t>
      </w:r>
      <w:r w:rsidR="00974869">
        <w:t xml:space="preserve">is </w:t>
      </w:r>
      <w:r>
        <w:t xml:space="preserve">updated </w:t>
      </w:r>
      <w:r w:rsidR="00C67E3E">
        <w:t xml:space="preserve">at least </w:t>
      </w:r>
      <w:r>
        <w:t>annually.</w:t>
      </w:r>
    </w:p>
    <w:p w14:paraId="037B0357" w14:textId="1C4F2446" w:rsidR="00905A64" w:rsidRPr="00905A64" w:rsidRDefault="00905A64" w:rsidP="42C471D9">
      <w:pPr>
        <w:pStyle w:val="Heading2"/>
        <w:spacing w:line="240" w:lineRule="auto"/>
      </w:pPr>
      <w:bookmarkStart w:id="25" w:name="_Toc155616364"/>
      <w:bookmarkStart w:id="26" w:name="_Toc209003031"/>
      <w:r>
        <w:t>Background</w:t>
      </w:r>
      <w:bookmarkEnd w:id="25"/>
      <w:bookmarkEnd w:id="26"/>
    </w:p>
    <w:p w14:paraId="213BC58C" w14:textId="5EF83473" w:rsidR="00905A64" w:rsidRPr="00EB2DE1" w:rsidRDefault="00905A64" w:rsidP="00A53E91">
      <w:pPr>
        <w:spacing w:line="240" w:lineRule="auto"/>
        <w:contextualSpacing/>
      </w:pPr>
      <w:r w:rsidRPr="008B37DF">
        <w:t xml:space="preserve">Georgia Access is a division within the Office of Commissioner of Insurance and Safety Fire (OCI). The Georgia Access Division </w:t>
      </w:r>
      <w:r>
        <w:t>is</w:t>
      </w:r>
      <w:r w:rsidRPr="008B37DF">
        <w:t xml:space="preserve"> responsible for </w:t>
      </w:r>
      <w:r>
        <w:t xml:space="preserve">operating and </w:t>
      </w:r>
      <w:r w:rsidRPr="008B37DF">
        <w:t xml:space="preserve">managing the State’s </w:t>
      </w:r>
      <w:r>
        <w:t>SBE</w:t>
      </w:r>
      <w:r w:rsidRPr="008B37DF">
        <w:t>.</w:t>
      </w:r>
      <w:r>
        <w:t xml:space="preserve"> Georgia Access operated as a State-based Exchange on the Federal Platform (SBE-FP) for plan year (PY) 2024</w:t>
      </w:r>
      <w:r w:rsidR="005B3A9C">
        <w:t xml:space="preserve"> and is transitioning to a full </w:t>
      </w:r>
      <w:r w:rsidR="008B3F84">
        <w:t>SBE</w:t>
      </w:r>
      <w:r w:rsidR="005B3A9C">
        <w:t xml:space="preserve"> for PY</w:t>
      </w:r>
      <w:r w:rsidR="001E564B">
        <w:t xml:space="preserve"> </w:t>
      </w:r>
      <w:r w:rsidR="005B3A9C">
        <w:t>2025</w:t>
      </w:r>
      <w:r>
        <w:t xml:space="preserve">. </w:t>
      </w:r>
      <w:r w:rsidRPr="00020C11">
        <w:t xml:space="preserve">Starting November 1, 2024, consumers </w:t>
      </w:r>
      <w:r>
        <w:t>can</w:t>
      </w:r>
      <w:r w:rsidRPr="00020C11">
        <w:t xml:space="preserve"> shop for and enroll in coverage through Georgia Access (</w:t>
      </w:r>
      <w:hyperlink r:id="rId11" w:history="1">
        <w:r w:rsidRPr="00C67E3E">
          <w:rPr>
            <w:rStyle w:val="Hyperlink"/>
          </w:rPr>
          <w:t>GeorgiaAccess.gov</w:t>
        </w:r>
      </w:hyperlink>
      <w:r w:rsidRPr="00020C11">
        <w:t>)</w:t>
      </w:r>
      <w:r>
        <w:t xml:space="preserve"> for PY 2025</w:t>
      </w:r>
      <w:r w:rsidRPr="00020C11">
        <w:t>. Consumers can also work with a web broker</w:t>
      </w:r>
      <w:r>
        <w:t xml:space="preserve">, </w:t>
      </w:r>
      <w:r w:rsidR="00C67E3E">
        <w:t>insurance company</w:t>
      </w:r>
      <w:r>
        <w:t>,</w:t>
      </w:r>
      <w:r w:rsidRPr="00020C11">
        <w:t xml:space="preserve"> or </w:t>
      </w:r>
      <w:r w:rsidR="00C67E3E">
        <w:t>C</w:t>
      </w:r>
      <w:r w:rsidRPr="00020C11">
        <w:t xml:space="preserve">ertified </w:t>
      </w:r>
      <w:r w:rsidR="00C67E3E">
        <w:t>A</w:t>
      </w:r>
      <w:r w:rsidRPr="00020C11">
        <w:t>gent to shop for and enroll in coverage.</w:t>
      </w:r>
      <w:r>
        <w:t xml:space="preserve"> </w:t>
      </w:r>
    </w:p>
    <w:p w14:paraId="21FD355C" w14:textId="6E982248" w:rsidR="00501E3E" w:rsidRPr="007779DE" w:rsidRDefault="009F6C30" w:rsidP="42C471D9">
      <w:pPr>
        <w:pStyle w:val="Heading2"/>
        <w:spacing w:line="240" w:lineRule="auto"/>
      </w:pPr>
      <w:bookmarkStart w:id="27" w:name="_Toc155798370"/>
      <w:bookmarkStart w:id="28" w:name="_Toc155798371"/>
      <w:bookmarkStart w:id="29" w:name="_Toc155798372"/>
      <w:bookmarkStart w:id="30" w:name="_Toc155798373"/>
      <w:bookmarkStart w:id="31" w:name="_Toc153964081"/>
      <w:bookmarkStart w:id="32" w:name="_Toc138950385"/>
      <w:bookmarkStart w:id="33" w:name="_Toc209003032"/>
      <w:bookmarkEnd w:id="19"/>
      <w:bookmarkEnd w:id="20"/>
      <w:bookmarkEnd w:id="21"/>
      <w:bookmarkEnd w:id="22"/>
      <w:bookmarkEnd w:id="23"/>
      <w:bookmarkEnd w:id="24"/>
      <w:bookmarkEnd w:id="27"/>
      <w:bookmarkEnd w:id="28"/>
      <w:bookmarkEnd w:id="29"/>
      <w:bookmarkEnd w:id="30"/>
      <w:r>
        <w:t>Key Terms</w:t>
      </w:r>
      <w:bookmarkEnd w:id="31"/>
      <w:bookmarkEnd w:id="32"/>
      <w:bookmarkEnd w:id="33"/>
    </w:p>
    <w:p w14:paraId="5C6FDBF4" w14:textId="427B5DF2" w:rsidR="00C817F8" w:rsidRPr="00AA41D5" w:rsidRDefault="00B7500D" w:rsidP="00A53E91">
      <w:pPr>
        <w:spacing w:line="240" w:lineRule="auto"/>
        <w:rPr>
          <w:rFonts w:cstheme="minorHAnsi"/>
        </w:rPr>
      </w:pPr>
      <w:r w:rsidRPr="00623F0C">
        <w:rPr>
          <w:b/>
          <w:bCs/>
        </w:rPr>
        <w:t xml:space="preserve">Advance </w:t>
      </w:r>
      <w:r w:rsidR="00E156DD">
        <w:rPr>
          <w:b/>
          <w:bCs/>
        </w:rPr>
        <w:t>p</w:t>
      </w:r>
      <w:r w:rsidRPr="00623F0C">
        <w:rPr>
          <w:b/>
          <w:bCs/>
        </w:rPr>
        <w:t xml:space="preserve">remium </w:t>
      </w:r>
      <w:r w:rsidR="00E156DD">
        <w:rPr>
          <w:b/>
          <w:bCs/>
        </w:rPr>
        <w:t>t</w:t>
      </w:r>
      <w:r w:rsidRPr="00623F0C">
        <w:rPr>
          <w:b/>
          <w:bCs/>
        </w:rPr>
        <w:t xml:space="preserve">ax </w:t>
      </w:r>
      <w:r w:rsidR="00E156DD">
        <w:rPr>
          <w:b/>
          <w:bCs/>
        </w:rPr>
        <w:t>c</w:t>
      </w:r>
      <w:r w:rsidRPr="00623F0C">
        <w:rPr>
          <w:b/>
          <w:bCs/>
        </w:rPr>
        <w:t>redit (APTC)</w:t>
      </w:r>
      <w:r>
        <w:rPr>
          <w:b/>
          <w:bCs/>
        </w:rPr>
        <w:t xml:space="preserve">: </w:t>
      </w:r>
      <w:r w:rsidR="009C18D5" w:rsidRPr="009C18D5">
        <w:t>An advance of the premium tax credit (PTC) paid to an insurance company to reduce the cost of monthly premiums for eligible individuals buying qualified health plans (QHPs). The APTC amount is based on the consumer's household size and estimated income.</w:t>
      </w:r>
    </w:p>
    <w:p w14:paraId="62E6BF75" w14:textId="4E41306A" w:rsidR="006C20D1" w:rsidRDefault="006C20D1" w:rsidP="00A53E91">
      <w:pPr>
        <w:spacing w:line="240" w:lineRule="auto"/>
      </w:pPr>
      <w:r w:rsidRPr="00123802">
        <w:rPr>
          <w:b/>
          <w:bCs/>
        </w:rPr>
        <w:t>EDE Partner applicant:</w:t>
      </w:r>
      <w:r>
        <w:t xml:space="preserve"> </w:t>
      </w:r>
      <w:r w:rsidR="000B1EBE">
        <w:t>A</w:t>
      </w:r>
      <w:r>
        <w:t>n entity that has submitted an EDE Partner Application to the SBE and is pursuing participation and certification for Georgia Access.</w:t>
      </w:r>
    </w:p>
    <w:p w14:paraId="26173205" w14:textId="55702778" w:rsidR="006C20D1" w:rsidRPr="006C20D1" w:rsidRDefault="006C20D1" w:rsidP="00A53E91">
      <w:pPr>
        <w:spacing w:line="240" w:lineRule="auto"/>
      </w:pPr>
      <w:r w:rsidRPr="009C696E">
        <w:rPr>
          <w:b/>
          <w:bCs/>
        </w:rPr>
        <w:t>EDE Partner initial year certification:</w:t>
      </w:r>
      <w:r>
        <w:t xml:space="preserve"> The initial year certification is the first Plan Year that an EDE Partner is certified for Georgia Access. For Georgia’s SBE, the initial year certification is PY 202</w:t>
      </w:r>
      <w:r w:rsidR="00EA5471">
        <w:t>5</w:t>
      </w:r>
      <w:r>
        <w:t>.</w:t>
      </w:r>
    </w:p>
    <w:p w14:paraId="04B09089" w14:textId="175421CE" w:rsidR="006C20D1" w:rsidRPr="006C20D1" w:rsidRDefault="006C20D1" w:rsidP="00A53E91">
      <w:pPr>
        <w:spacing w:line="240" w:lineRule="auto"/>
        <w:rPr>
          <w:rFonts w:cstheme="minorHAnsi"/>
        </w:rPr>
      </w:pPr>
      <w:proofErr w:type="gramStart"/>
      <w:r>
        <w:rPr>
          <w:rFonts w:cstheme="minorHAnsi"/>
          <w:b/>
          <w:bCs/>
        </w:rPr>
        <w:t>Federally-facilitated</w:t>
      </w:r>
      <w:proofErr w:type="gramEnd"/>
      <w:r>
        <w:rPr>
          <w:rFonts w:cstheme="minorHAnsi"/>
          <w:b/>
          <w:bCs/>
        </w:rPr>
        <w:t xml:space="preserve"> Exchange (FFE): </w:t>
      </w:r>
      <w:r w:rsidR="003258E2">
        <w:rPr>
          <w:rFonts w:cstheme="minorHAnsi"/>
        </w:rPr>
        <w:t>A</w:t>
      </w:r>
      <w:r w:rsidR="003258E2" w:rsidRPr="003258E2">
        <w:rPr>
          <w:rFonts w:cstheme="minorHAnsi"/>
        </w:rPr>
        <w:t xml:space="preserve"> federal health insurance exchange operated by the Centers for Medicare &amp; Medicaid Services (CMS) pursuant to the A</w:t>
      </w:r>
      <w:r w:rsidR="00200B2C">
        <w:rPr>
          <w:rFonts w:cstheme="minorHAnsi"/>
        </w:rPr>
        <w:t xml:space="preserve">ffordable </w:t>
      </w:r>
      <w:r w:rsidR="003258E2" w:rsidRPr="003258E2">
        <w:rPr>
          <w:rFonts w:cstheme="minorHAnsi"/>
        </w:rPr>
        <w:t>C</w:t>
      </w:r>
      <w:r w:rsidR="00200B2C">
        <w:rPr>
          <w:rFonts w:cstheme="minorHAnsi"/>
        </w:rPr>
        <w:t xml:space="preserve">are </w:t>
      </w:r>
      <w:r w:rsidR="003258E2" w:rsidRPr="003258E2">
        <w:rPr>
          <w:rFonts w:cstheme="minorHAnsi"/>
        </w:rPr>
        <w:t>A</w:t>
      </w:r>
      <w:r w:rsidR="00200B2C">
        <w:rPr>
          <w:rFonts w:cstheme="minorHAnsi"/>
        </w:rPr>
        <w:t>ct (ACA)</w:t>
      </w:r>
      <w:r w:rsidR="003258E2" w:rsidRPr="003258E2">
        <w:rPr>
          <w:rFonts w:cstheme="minorHAnsi"/>
        </w:rPr>
        <w:t xml:space="preserve"> that enables an individual or small-business employer to compare and shop for qualified health plans (QHPs) and stand-alone dental plans (SADPs). FFE may be used interchangeably with HealthCare.gov or </w:t>
      </w:r>
      <w:proofErr w:type="gramStart"/>
      <w:r w:rsidR="003258E2" w:rsidRPr="003258E2">
        <w:rPr>
          <w:rFonts w:cstheme="minorHAnsi"/>
        </w:rPr>
        <w:t>Federally</w:t>
      </w:r>
      <w:r w:rsidR="00D717E4">
        <w:rPr>
          <w:rFonts w:cstheme="minorHAnsi"/>
        </w:rPr>
        <w:t>-f</w:t>
      </w:r>
      <w:r w:rsidR="003258E2" w:rsidRPr="003258E2">
        <w:rPr>
          <w:rFonts w:cstheme="minorHAnsi"/>
        </w:rPr>
        <w:t>acilitated</w:t>
      </w:r>
      <w:proofErr w:type="gramEnd"/>
      <w:r w:rsidR="003258E2" w:rsidRPr="003258E2">
        <w:rPr>
          <w:rFonts w:cstheme="minorHAnsi"/>
        </w:rPr>
        <w:t xml:space="preserve"> Marketplace</w:t>
      </w:r>
      <w:r w:rsidR="00090E8A">
        <w:rPr>
          <w:rFonts w:cstheme="minorHAnsi"/>
        </w:rPr>
        <w:t xml:space="preserve"> (FFM)</w:t>
      </w:r>
      <w:r w:rsidR="006F577A">
        <w:rPr>
          <w:rFonts w:cstheme="minorHAnsi"/>
        </w:rPr>
        <w:t>.</w:t>
      </w:r>
    </w:p>
    <w:p w14:paraId="49ADC3EE" w14:textId="29E93C3E" w:rsidR="00E1682C" w:rsidRPr="00FC46CF" w:rsidRDefault="00502CCC" w:rsidP="00A53E91">
      <w:pPr>
        <w:spacing w:line="240" w:lineRule="auto"/>
      </w:pPr>
      <w:r w:rsidRPr="00FC46CF">
        <w:rPr>
          <w:b/>
        </w:rPr>
        <w:t>Georgia Access Contact Center</w:t>
      </w:r>
      <w:r w:rsidRPr="00FC46CF">
        <w:t xml:space="preserve">: </w:t>
      </w:r>
      <w:r w:rsidR="00E1682C" w:rsidRPr="00FC46CF">
        <w:t xml:space="preserve">The contact center that provides extensive support to consumers, Georgia Access EDE Partners, </w:t>
      </w:r>
      <w:r w:rsidR="006F577A">
        <w:t>i</w:t>
      </w:r>
      <w:r w:rsidR="00E1682C">
        <w:t xml:space="preserve">nsurance </w:t>
      </w:r>
      <w:r w:rsidR="006F577A">
        <w:t>c</w:t>
      </w:r>
      <w:r w:rsidR="00E1682C">
        <w:t>ompanies</w:t>
      </w:r>
      <w:r w:rsidR="00E62CD3">
        <w:t>, and C</w:t>
      </w:r>
      <w:r w:rsidR="00E62CD3" w:rsidRPr="00FC46CF">
        <w:t xml:space="preserve">ertified </w:t>
      </w:r>
      <w:r w:rsidR="00E62CD3">
        <w:t>A</w:t>
      </w:r>
      <w:r w:rsidR="00E62CD3" w:rsidRPr="00FC46CF">
        <w:t>gents</w:t>
      </w:r>
      <w:r w:rsidR="00E1682C" w:rsidRPr="00FC46CF">
        <w:t>.</w:t>
      </w:r>
    </w:p>
    <w:p w14:paraId="10CE72F0" w14:textId="6B37F2AA" w:rsidR="00502CCC" w:rsidRPr="00FC46CF" w:rsidRDefault="00502CCC" w:rsidP="00A53E91">
      <w:pPr>
        <w:spacing w:line="240" w:lineRule="auto"/>
      </w:pPr>
      <w:r w:rsidRPr="00FC46CF">
        <w:rPr>
          <w:b/>
          <w:bCs/>
        </w:rPr>
        <w:t xml:space="preserve">Georgia Access Enhanced Direct Enrollment (EDE) Partner: </w:t>
      </w:r>
      <w:r w:rsidR="00B92141" w:rsidRPr="00623F0C">
        <w:t>An organization that is certified to provide a technology platform for</w:t>
      </w:r>
      <w:r w:rsidR="00B92141">
        <w:t xml:space="preserve"> consumers</w:t>
      </w:r>
      <w:r w:rsidR="00B92141" w:rsidRPr="00623F0C">
        <w:t xml:space="preserve"> to shop for and enroll in QHPs and SADPs.</w:t>
      </w:r>
      <w:r w:rsidR="00B92141">
        <w:t xml:space="preserve"> </w:t>
      </w:r>
      <w:r w:rsidRPr="00FC46CF">
        <w:t xml:space="preserve">These partners include technology providers, web brokers, and </w:t>
      </w:r>
      <w:r w:rsidR="00710174">
        <w:t>insurance companies</w:t>
      </w:r>
      <w:r w:rsidRPr="00FC46CF">
        <w:t>. All Georgia Access EDE Partners must hold an FFE EDE certification.</w:t>
      </w:r>
    </w:p>
    <w:p w14:paraId="262AFF81" w14:textId="4770A5F8" w:rsidR="00177401" w:rsidRDefault="00502CCC" w:rsidP="00A53E91">
      <w:pPr>
        <w:spacing w:line="240" w:lineRule="auto"/>
        <w:rPr>
          <w:b/>
          <w:bCs/>
        </w:rPr>
      </w:pPr>
      <w:r w:rsidRPr="00FC46CF">
        <w:rPr>
          <w:b/>
          <w:bCs/>
        </w:rPr>
        <w:t xml:space="preserve">Georgia Access </w:t>
      </w:r>
      <w:r w:rsidR="00710174">
        <w:rPr>
          <w:b/>
          <w:bCs/>
        </w:rPr>
        <w:t>insurance companies</w:t>
      </w:r>
      <w:r w:rsidRPr="00FC46CF">
        <w:rPr>
          <w:b/>
          <w:bCs/>
        </w:rPr>
        <w:t xml:space="preserve">: </w:t>
      </w:r>
      <w:r w:rsidR="00DB3CB1" w:rsidRPr="00F411DF">
        <w:t xml:space="preserve">Also </w:t>
      </w:r>
      <w:r w:rsidR="00C01014" w:rsidRPr="00F411DF">
        <w:t xml:space="preserve">known as </w:t>
      </w:r>
      <w:r w:rsidR="00C01014">
        <w:t>“</w:t>
      </w:r>
      <w:r w:rsidR="00C01014" w:rsidRPr="00F411DF">
        <w:t>issuers</w:t>
      </w:r>
      <w:r w:rsidR="00C01014">
        <w:t>”</w:t>
      </w:r>
      <w:r w:rsidR="00C01014" w:rsidRPr="00F411DF">
        <w:t xml:space="preserve"> or </w:t>
      </w:r>
      <w:r w:rsidR="00C01014">
        <w:t>“</w:t>
      </w:r>
      <w:r w:rsidR="00C01014" w:rsidRPr="00F411DF">
        <w:t>carriers</w:t>
      </w:r>
      <w:r w:rsidR="00C01014">
        <w:t>”</w:t>
      </w:r>
      <w:r w:rsidR="00C01014" w:rsidRPr="00F411DF">
        <w:t>,</w:t>
      </w:r>
      <w:r w:rsidR="00C01014">
        <w:rPr>
          <w:b/>
          <w:bCs/>
        </w:rPr>
        <w:t xml:space="preserve"> </w:t>
      </w:r>
      <w:r w:rsidR="00C01014">
        <w:t>insurance companies are</w:t>
      </w:r>
      <w:r w:rsidR="00C01014" w:rsidRPr="00FC46CF">
        <w:t xml:space="preserve"> licensed by OCI to engage in the business of selling, soliciting, or negotiati</w:t>
      </w:r>
      <w:r w:rsidR="00C01014">
        <w:t>ng</w:t>
      </w:r>
      <w:r w:rsidR="00C01014" w:rsidRPr="00FC46CF">
        <w:t xml:space="preserve"> insurance in Georgia. They are responsible for </w:t>
      </w:r>
      <w:proofErr w:type="gramStart"/>
      <w:r w:rsidR="00C01014">
        <w:t>plan</w:t>
      </w:r>
      <w:proofErr w:type="gramEnd"/>
      <w:r w:rsidR="00C01014">
        <w:t xml:space="preserve"> management activities and back-end </w:t>
      </w:r>
      <w:r w:rsidR="00C01014" w:rsidRPr="00FC46CF">
        <w:t>enrollment</w:t>
      </w:r>
      <w:r w:rsidR="00C01014">
        <w:t xml:space="preserve"> and reconciliation</w:t>
      </w:r>
      <w:r w:rsidR="00C01014" w:rsidRPr="00FC46CF">
        <w:t xml:space="preserve"> activities. </w:t>
      </w:r>
      <w:r w:rsidR="00C01014">
        <w:t>Insurance companies may also be certified as EDE Partners.</w:t>
      </w:r>
      <w:r w:rsidR="00C01014" w:rsidRPr="002F10CF">
        <w:rPr>
          <w:b/>
          <w:bCs/>
        </w:rPr>
        <w:t xml:space="preserve"> </w:t>
      </w:r>
      <w:r w:rsidR="00C01014" w:rsidRPr="009B7FC8">
        <w:t>For S</w:t>
      </w:r>
      <w:r w:rsidR="000F59EE">
        <w:t>mall Business Health Options Program (</w:t>
      </w:r>
      <w:r w:rsidR="00C01014" w:rsidRPr="009B7FC8">
        <w:t>SHOP</w:t>
      </w:r>
      <w:r w:rsidR="000F59EE">
        <w:t>)</w:t>
      </w:r>
      <w:r w:rsidR="00C01014" w:rsidRPr="009B7FC8">
        <w:t>,</w:t>
      </w:r>
      <w:r w:rsidR="00C01014">
        <w:rPr>
          <w:b/>
          <w:bCs/>
          <w:iCs/>
        </w:rPr>
        <w:t xml:space="preserve"> </w:t>
      </w:r>
      <w:r w:rsidR="00C01014">
        <w:rPr>
          <w:iCs/>
        </w:rPr>
        <w:t>insurance companies</w:t>
      </w:r>
      <w:r w:rsidR="00C01014">
        <w:rPr>
          <w:b/>
          <w:bCs/>
          <w:iCs/>
        </w:rPr>
        <w:t xml:space="preserve"> </w:t>
      </w:r>
      <w:r w:rsidR="00C01014">
        <w:rPr>
          <w:iCs/>
        </w:rPr>
        <w:t>o</w:t>
      </w:r>
      <w:r w:rsidR="00C01014" w:rsidRPr="00F33403">
        <w:rPr>
          <w:iCs/>
        </w:rPr>
        <w:t xml:space="preserve">ffer </w:t>
      </w:r>
      <w:r w:rsidR="00C01014">
        <w:rPr>
          <w:iCs/>
        </w:rPr>
        <w:t xml:space="preserve">SHOP </w:t>
      </w:r>
      <w:r w:rsidR="00C01014" w:rsidRPr="00F33403">
        <w:rPr>
          <w:iCs/>
        </w:rPr>
        <w:t>plans</w:t>
      </w:r>
      <w:r w:rsidR="00C01014">
        <w:rPr>
          <w:iCs/>
        </w:rPr>
        <w:t xml:space="preserve">, process SHOP </w:t>
      </w:r>
      <w:r w:rsidR="00C01014">
        <w:rPr>
          <w:rFonts w:eastAsia="Times New Roman"/>
        </w:rPr>
        <w:t>applications</w:t>
      </w:r>
      <w:r w:rsidR="00C01014">
        <w:rPr>
          <w:iCs/>
        </w:rPr>
        <w:t>, and enroll</w:t>
      </w:r>
      <w:r w:rsidR="00C01014" w:rsidRPr="00F33403">
        <w:rPr>
          <w:iCs/>
        </w:rPr>
        <w:t xml:space="preserve"> </w:t>
      </w:r>
      <w:r w:rsidR="00C01014">
        <w:rPr>
          <w:iCs/>
        </w:rPr>
        <w:t>employers</w:t>
      </w:r>
      <w:r w:rsidR="00C01014" w:rsidRPr="00F33403">
        <w:rPr>
          <w:iCs/>
        </w:rPr>
        <w:t xml:space="preserve"> in </w:t>
      </w:r>
      <w:r w:rsidR="00C01014">
        <w:rPr>
          <w:iCs/>
        </w:rPr>
        <w:t xml:space="preserve">SHOP plans. </w:t>
      </w:r>
    </w:p>
    <w:p w14:paraId="6873A43E" w14:textId="412FFCDF" w:rsidR="00502CCC" w:rsidRPr="00FC46CF" w:rsidRDefault="00502CCC" w:rsidP="00A53E91">
      <w:pPr>
        <w:spacing w:line="240" w:lineRule="auto"/>
      </w:pPr>
      <w:r w:rsidRPr="00FC46CF">
        <w:rPr>
          <w:b/>
          <w:bCs/>
        </w:rPr>
        <w:t>Georgia Access Portal</w:t>
      </w:r>
      <w:r w:rsidRPr="00FC46CF">
        <w:t xml:space="preserve">: </w:t>
      </w:r>
      <w:r>
        <w:t>The State-run online portal that allows consumers to apply for, shop for, and enroll in coverage through Georgia Access. The Georgia Access Portal is one of the enrollment options available to consumers in Georgia.</w:t>
      </w:r>
      <w:r w:rsidRPr="00FC46CF">
        <w:t xml:space="preserve"> </w:t>
      </w:r>
    </w:p>
    <w:p w14:paraId="4034BB19" w14:textId="12F580A5" w:rsidR="00C44DCB" w:rsidRPr="005A151C" w:rsidRDefault="00502CCC" w:rsidP="00A53E91">
      <w:pPr>
        <w:spacing w:line="240" w:lineRule="auto"/>
        <w:rPr>
          <w:bCs/>
        </w:rPr>
      </w:pPr>
      <w:r w:rsidRPr="00FC46CF">
        <w:rPr>
          <w:b/>
        </w:rPr>
        <w:lastRenderedPageBreak/>
        <w:t xml:space="preserve">Georgia Access </w:t>
      </w:r>
      <w:r w:rsidR="00E156DD">
        <w:rPr>
          <w:b/>
        </w:rPr>
        <w:t>w</w:t>
      </w:r>
      <w:r w:rsidRPr="00FC46CF">
        <w:rPr>
          <w:b/>
        </w:rPr>
        <w:t xml:space="preserve">ebsite: </w:t>
      </w:r>
      <w:r w:rsidR="00C44DCB">
        <w:rPr>
          <w:bCs/>
        </w:rPr>
        <w:t>A</w:t>
      </w:r>
      <w:r w:rsidR="00C44DCB" w:rsidRPr="00C44DCB">
        <w:rPr>
          <w:bCs/>
        </w:rPr>
        <w:t xml:space="preserve"> publicly available website (</w:t>
      </w:r>
      <w:hyperlink r:id="rId12" w:history="1">
        <w:r w:rsidR="00C44DCB" w:rsidRPr="009A0662">
          <w:rPr>
            <w:rStyle w:val="Hyperlink"/>
            <w:bCs/>
          </w:rPr>
          <w:t>GeorgiaAccess.gov</w:t>
        </w:r>
      </w:hyperlink>
      <w:r w:rsidR="00C44DCB" w:rsidRPr="00C44DCB">
        <w:rPr>
          <w:bCs/>
        </w:rPr>
        <w:t>) providing information on Georgia Access programs and services, how to access health care coverage, and how to get assistance with applying for coverage.</w:t>
      </w:r>
      <w:r w:rsidRPr="00C44DCB">
        <w:t xml:space="preserve"> </w:t>
      </w:r>
    </w:p>
    <w:p w14:paraId="177151B4" w14:textId="1CC2AD85" w:rsidR="006C20D1" w:rsidRDefault="006C20D1" w:rsidP="00A53E91">
      <w:pPr>
        <w:spacing w:line="240" w:lineRule="auto"/>
        <w:rPr>
          <w:iCs/>
        </w:rPr>
      </w:pPr>
      <w:r w:rsidRPr="00674B4C">
        <w:rPr>
          <w:b/>
        </w:rPr>
        <w:t xml:space="preserve">Hybrid </w:t>
      </w:r>
      <w:r w:rsidR="00692D80">
        <w:rPr>
          <w:b/>
          <w:bCs/>
          <w:iCs/>
        </w:rPr>
        <w:t>issuer</w:t>
      </w:r>
      <w:r w:rsidRPr="00674B4C">
        <w:rPr>
          <w:b/>
          <w:bCs/>
          <w:iCs/>
        </w:rPr>
        <w:t xml:space="preserve"> </w:t>
      </w:r>
      <w:r>
        <w:rPr>
          <w:b/>
          <w:bCs/>
          <w:iCs/>
        </w:rPr>
        <w:t>u</w:t>
      </w:r>
      <w:r w:rsidRPr="00674B4C">
        <w:rPr>
          <w:b/>
          <w:bCs/>
          <w:iCs/>
        </w:rPr>
        <w:t xml:space="preserve">pstream </w:t>
      </w:r>
      <w:r w:rsidRPr="00674B4C">
        <w:rPr>
          <w:b/>
        </w:rPr>
        <w:t xml:space="preserve">EDE </w:t>
      </w:r>
      <w:r>
        <w:rPr>
          <w:b/>
          <w:bCs/>
          <w:iCs/>
        </w:rPr>
        <w:t>e</w:t>
      </w:r>
      <w:r w:rsidRPr="00674B4C">
        <w:rPr>
          <w:b/>
          <w:bCs/>
          <w:iCs/>
        </w:rPr>
        <w:t>ntity</w:t>
      </w:r>
      <w:r>
        <w:rPr>
          <w:b/>
          <w:bCs/>
          <w:iCs/>
        </w:rPr>
        <w:t>:</w:t>
      </w:r>
      <w:r w:rsidRPr="004D19C2">
        <w:rPr>
          <w:iCs/>
        </w:rPr>
        <w:t xml:space="preserve"> Hybrid </w:t>
      </w:r>
      <w:r w:rsidR="00692D80">
        <w:rPr>
          <w:iCs/>
        </w:rPr>
        <w:t>issuers</w:t>
      </w:r>
      <w:r w:rsidRPr="004D19C2">
        <w:rPr>
          <w:iCs/>
        </w:rPr>
        <w:t xml:space="preserve"> are upstream EDE</w:t>
      </w:r>
      <w:r w:rsidR="00FE6C5B">
        <w:rPr>
          <w:iCs/>
        </w:rPr>
        <w:t xml:space="preserve"> </w:t>
      </w:r>
      <w:r w:rsidR="00710174">
        <w:rPr>
          <w:iCs/>
        </w:rPr>
        <w:t>insurance companies</w:t>
      </w:r>
      <w:r w:rsidRPr="004D19C2">
        <w:rPr>
          <w:iCs/>
        </w:rPr>
        <w:t xml:space="preserve"> that implement additional/modified functionality to a primary EDE’s technology platform and application beyond minor branding and QHP display changes that may change the consumer experience.</w:t>
      </w:r>
    </w:p>
    <w:p w14:paraId="7C4C554C" w14:textId="09C2EC73" w:rsidR="006C20D1" w:rsidRPr="006C20D1" w:rsidRDefault="006C20D1" w:rsidP="00A53E91">
      <w:pPr>
        <w:spacing w:beforeLines="20" w:before="48" w:afterLines="60" w:after="144" w:line="240" w:lineRule="auto"/>
        <w:rPr>
          <w:iCs/>
        </w:rPr>
      </w:pPr>
      <w:r w:rsidRPr="00674B4C">
        <w:rPr>
          <w:b/>
          <w:bCs/>
          <w:iCs/>
        </w:rPr>
        <w:t xml:space="preserve">Hybrid </w:t>
      </w:r>
      <w:r>
        <w:rPr>
          <w:b/>
          <w:bCs/>
          <w:iCs/>
        </w:rPr>
        <w:t>n</w:t>
      </w:r>
      <w:r w:rsidRPr="00674B4C">
        <w:rPr>
          <w:b/>
          <w:bCs/>
          <w:iCs/>
        </w:rPr>
        <w:t>on-</w:t>
      </w:r>
      <w:r w:rsidR="00692D80">
        <w:rPr>
          <w:b/>
          <w:bCs/>
          <w:iCs/>
        </w:rPr>
        <w:t>issuer</w:t>
      </w:r>
      <w:r w:rsidRPr="00674B4C">
        <w:rPr>
          <w:b/>
          <w:bCs/>
          <w:iCs/>
        </w:rPr>
        <w:t xml:space="preserve"> </w:t>
      </w:r>
      <w:r>
        <w:rPr>
          <w:b/>
          <w:bCs/>
          <w:iCs/>
        </w:rPr>
        <w:t>u</w:t>
      </w:r>
      <w:r w:rsidRPr="00674B4C">
        <w:rPr>
          <w:b/>
          <w:bCs/>
          <w:iCs/>
        </w:rPr>
        <w:t xml:space="preserve">pstream </w:t>
      </w:r>
      <w:r w:rsidRPr="00674B4C">
        <w:rPr>
          <w:b/>
        </w:rPr>
        <w:t xml:space="preserve">EDE </w:t>
      </w:r>
      <w:r>
        <w:rPr>
          <w:b/>
          <w:bCs/>
          <w:iCs/>
        </w:rPr>
        <w:t>e</w:t>
      </w:r>
      <w:r w:rsidRPr="00674B4C">
        <w:rPr>
          <w:b/>
          <w:bCs/>
          <w:iCs/>
        </w:rPr>
        <w:t>ntity</w:t>
      </w:r>
      <w:r w:rsidRPr="00674B4C">
        <w:rPr>
          <w:b/>
        </w:rPr>
        <w:t xml:space="preserve">: </w:t>
      </w:r>
      <w:r w:rsidRPr="00FC248F">
        <w:rPr>
          <w:iCs/>
        </w:rPr>
        <w:t>Hybrid non-</w:t>
      </w:r>
      <w:r w:rsidR="00692D80">
        <w:rPr>
          <w:iCs/>
        </w:rPr>
        <w:t>issuers</w:t>
      </w:r>
      <w:r w:rsidRPr="00FC248F">
        <w:rPr>
          <w:iCs/>
        </w:rPr>
        <w:t xml:space="preserve"> are upstream EDE</w:t>
      </w:r>
      <w:r w:rsidR="00FE6C5B">
        <w:rPr>
          <w:iCs/>
        </w:rPr>
        <w:t xml:space="preserve"> web broker</w:t>
      </w:r>
      <w:r w:rsidRPr="00FC248F">
        <w:rPr>
          <w:iCs/>
        </w:rPr>
        <w:t>s that utilize a primary EDE’s technology platform but implement additional functionality/modifications to the application that change the consumer experience.</w:t>
      </w:r>
    </w:p>
    <w:p w14:paraId="28F5B537" w14:textId="2EAB29DE" w:rsidR="00502CCC" w:rsidRPr="006C5DCC" w:rsidRDefault="461FBF29" w:rsidP="00A53E91">
      <w:pPr>
        <w:spacing w:line="240" w:lineRule="auto"/>
      </w:pPr>
      <w:r w:rsidRPr="428E3552">
        <w:rPr>
          <w:b/>
          <w:bCs/>
        </w:rPr>
        <w:t>Open Enrollment (OE):</w:t>
      </w:r>
      <w:r>
        <w:t xml:space="preserve"> </w:t>
      </w:r>
      <w:r w:rsidR="76980B3C">
        <w:t xml:space="preserve">The annual period when consumers may enroll in an individual health insurance plan for the </w:t>
      </w:r>
      <w:proofErr w:type="gramStart"/>
      <w:r w:rsidR="76980B3C">
        <w:t>upcoming plan</w:t>
      </w:r>
      <w:proofErr w:type="gramEnd"/>
      <w:r w:rsidR="76980B3C">
        <w:t xml:space="preserve"> year.</w:t>
      </w:r>
      <w:r w:rsidR="4AE46C28">
        <w:t xml:space="preserve"> Generally, this </w:t>
      </w:r>
      <w:r w:rsidR="04709210">
        <w:t>begins</w:t>
      </w:r>
      <w:r w:rsidR="4AE46C28">
        <w:t xml:space="preserve"> November 1 through January 15 of each year.</w:t>
      </w:r>
      <w:r w:rsidR="76980B3C">
        <w:t>​ </w:t>
      </w:r>
    </w:p>
    <w:p w14:paraId="544D1951" w14:textId="25CBCFB1" w:rsidR="00600F78" w:rsidRPr="00600F78" w:rsidRDefault="00600F78" w:rsidP="00A53E91">
      <w:pPr>
        <w:spacing w:line="240" w:lineRule="auto"/>
      </w:pPr>
      <w:r w:rsidRPr="008B19AE">
        <w:rPr>
          <w:b/>
          <w:bCs/>
        </w:rPr>
        <w:t xml:space="preserve">Operational </w:t>
      </w:r>
      <w:r w:rsidR="00E156DD">
        <w:rPr>
          <w:b/>
          <w:bCs/>
        </w:rPr>
        <w:t>r</w:t>
      </w:r>
      <w:r w:rsidRPr="008B19AE">
        <w:rPr>
          <w:b/>
          <w:bCs/>
        </w:rPr>
        <w:t xml:space="preserve">eadiness </w:t>
      </w:r>
      <w:r w:rsidR="00E156DD">
        <w:rPr>
          <w:b/>
          <w:bCs/>
        </w:rPr>
        <w:t>r</w:t>
      </w:r>
      <w:r w:rsidRPr="008B19AE">
        <w:rPr>
          <w:b/>
          <w:bCs/>
        </w:rPr>
        <w:t>eview</w:t>
      </w:r>
      <w:r>
        <w:rPr>
          <w:b/>
          <w:bCs/>
        </w:rPr>
        <w:t>s</w:t>
      </w:r>
      <w:r w:rsidRPr="008B19AE">
        <w:rPr>
          <w:b/>
          <w:bCs/>
        </w:rPr>
        <w:t xml:space="preserve"> (ORR</w:t>
      </w:r>
      <w:r>
        <w:rPr>
          <w:b/>
          <w:bCs/>
        </w:rPr>
        <w:t>s</w:t>
      </w:r>
      <w:r w:rsidRPr="008B19AE">
        <w:rPr>
          <w:b/>
          <w:bCs/>
        </w:rPr>
        <w:t>):</w:t>
      </w:r>
      <w:r>
        <w:t xml:space="preserve"> </w:t>
      </w:r>
      <w:r w:rsidR="00E156DD">
        <w:t>T</w:t>
      </w:r>
      <w:r>
        <w:t>he annual reviews conducted by Georgia Access to assess whether an EDE Partner applicant has met the Georgia Access technical and operational requirements and milestones for Georgia Access certification/recertification.</w:t>
      </w:r>
    </w:p>
    <w:p w14:paraId="2D084AC2" w14:textId="50CAA437" w:rsidR="00502CCC" w:rsidRDefault="00502CCC" w:rsidP="00A53E91">
      <w:pPr>
        <w:spacing w:line="240" w:lineRule="auto"/>
        <w:rPr>
          <w:rFonts w:eastAsia="Times New Roman" w:cstheme="minorHAnsi"/>
          <w:b/>
          <w:bCs/>
          <w:color w:val="000000"/>
          <w:position w:val="2"/>
        </w:rPr>
      </w:pPr>
      <w:r>
        <w:rPr>
          <w:rFonts w:eastAsia="Times New Roman" w:cstheme="minorHAnsi"/>
          <w:b/>
          <w:bCs/>
          <w:color w:val="000000"/>
          <w:position w:val="2"/>
        </w:rPr>
        <w:t xml:space="preserve">Plan </w:t>
      </w:r>
      <w:r w:rsidR="00A91865">
        <w:rPr>
          <w:rFonts w:eastAsia="Times New Roman" w:cstheme="minorHAnsi"/>
          <w:b/>
          <w:bCs/>
          <w:color w:val="000000"/>
          <w:position w:val="2"/>
        </w:rPr>
        <w:t>y</w:t>
      </w:r>
      <w:r>
        <w:rPr>
          <w:rFonts w:eastAsia="Times New Roman" w:cstheme="minorHAnsi"/>
          <w:b/>
          <w:bCs/>
          <w:color w:val="000000"/>
          <w:position w:val="2"/>
        </w:rPr>
        <w:t xml:space="preserve">ear (PY): </w:t>
      </w:r>
      <w:r w:rsidR="00141DB5" w:rsidRPr="000917EB">
        <w:rPr>
          <w:rFonts w:eastAsia="Times New Roman" w:cstheme="minorHAnsi"/>
          <w:color w:val="000000"/>
          <w:position w:val="2"/>
        </w:rPr>
        <w:t xml:space="preserve">The 12-month period of benefit coverage under a health plan. For Georgia Access, a </w:t>
      </w:r>
      <w:r w:rsidR="00141DB5">
        <w:rPr>
          <w:rFonts w:eastAsia="Times New Roman" w:cstheme="minorHAnsi"/>
          <w:color w:val="000000"/>
          <w:position w:val="2"/>
        </w:rPr>
        <w:t>p</w:t>
      </w:r>
      <w:r w:rsidR="00141DB5" w:rsidRPr="000917EB">
        <w:rPr>
          <w:rFonts w:eastAsia="Times New Roman" w:cstheme="minorHAnsi"/>
          <w:color w:val="000000"/>
          <w:position w:val="2"/>
        </w:rPr>
        <w:t xml:space="preserve">lan </w:t>
      </w:r>
      <w:r w:rsidR="00141DB5">
        <w:rPr>
          <w:rFonts w:eastAsia="Times New Roman" w:cstheme="minorHAnsi"/>
          <w:color w:val="000000"/>
          <w:position w:val="2"/>
        </w:rPr>
        <w:t>y</w:t>
      </w:r>
      <w:r w:rsidR="00141DB5" w:rsidRPr="000917EB">
        <w:rPr>
          <w:rFonts w:eastAsia="Times New Roman" w:cstheme="minorHAnsi"/>
          <w:color w:val="000000"/>
          <w:position w:val="2"/>
        </w:rPr>
        <w:t>ear begins January 1st of each year and runs through December 31st of the same year.</w:t>
      </w:r>
    </w:p>
    <w:p w14:paraId="79C047ED" w14:textId="3CC51DCE" w:rsidR="006C20D1" w:rsidRPr="006C20D1" w:rsidRDefault="006C20D1" w:rsidP="00A53E91">
      <w:pPr>
        <w:spacing w:beforeLines="20" w:before="48" w:afterLines="60" w:after="144" w:line="240" w:lineRule="auto"/>
        <w:rPr>
          <w:iCs/>
        </w:rPr>
      </w:pPr>
      <w:r w:rsidRPr="00C405C1">
        <w:rPr>
          <w:b/>
          <w:bCs/>
        </w:rPr>
        <w:t>Primary</w:t>
      </w:r>
      <w:r>
        <w:rPr>
          <w:b/>
          <w:bCs/>
        </w:rPr>
        <w:t xml:space="preserve"> EDE</w:t>
      </w:r>
      <w:r w:rsidRPr="00C405C1">
        <w:rPr>
          <w:b/>
          <w:bCs/>
        </w:rPr>
        <w:t xml:space="preserve"> entity:</w:t>
      </w:r>
      <w:r>
        <w:t xml:space="preserve"> </w:t>
      </w:r>
      <w:r>
        <w:rPr>
          <w:iCs/>
        </w:rPr>
        <w:t>Primary entities are EDE Partners that legally own and operate the underlying technology platform</w:t>
      </w:r>
      <w:r w:rsidRPr="0058284B">
        <w:rPr>
          <w:iCs/>
        </w:rPr>
        <w:t xml:space="preserve"> </w:t>
      </w:r>
      <w:r>
        <w:rPr>
          <w:iCs/>
        </w:rPr>
        <w:t>that provides consumers with plan shopping, selection, and enrollment services. Technology providers are always primary EDE entities.</w:t>
      </w:r>
    </w:p>
    <w:p w14:paraId="545960DC" w14:textId="18F9072C" w:rsidR="00233959" w:rsidRDefault="00233959" w:rsidP="00A53E91">
      <w:pPr>
        <w:spacing w:line="240" w:lineRule="auto"/>
        <w:rPr>
          <w:b/>
          <w:bCs/>
        </w:rPr>
      </w:pPr>
      <w:r w:rsidRPr="005B6844">
        <w:rPr>
          <w:b/>
        </w:rPr>
        <w:t>Public Use Files (PUF</w:t>
      </w:r>
      <w:r>
        <w:rPr>
          <w:b/>
        </w:rPr>
        <w:t>s</w:t>
      </w:r>
      <w:r w:rsidRPr="005B6844">
        <w:rPr>
          <w:b/>
        </w:rPr>
        <w:t>):</w:t>
      </w:r>
      <w:r>
        <w:t xml:space="preserve"> Files generated by Georgia Access to allow the public to access certain types of Exchange and insurance company enrollment data.</w:t>
      </w:r>
      <w:r w:rsidRPr="00AD47FB">
        <w:t xml:space="preserve"> </w:t>
      </w:r>
      <w:r>
        <w:t xml:space="preserve">Georgia Access </w:t>
      </w:r>
      <w:r w:rsidRPr="00AD47FB">
        <w:t>PUFs include plan</w:t>
      </w:r>
      <w:r>
        <w:t>-</w:t>
      </w:r>
      <w:r w:rsidRPr="00AD47FB">
        <w:t xml:space="preserve"> and issuer</w:t>
      </w:r>
      <w:r>
        <w:t>-</w:t>
      </w:r>
      <w:r w:rsidRPr="00AD47FB">
        <w:t>level information on certified QHPs and SADPs</w:t>
      </w:r>
      <w:r>
        <w:t xml:space="preserve"> </w:t>
      </w:r>
      <w:r w:rsidRPr="00AD47FB">
        <w:t xml:space="preserve">offered to individuals and small businesses through </w:t>
      </w:r>
      <w:r>
        <w:t>Georgia Access</w:t>
      </w:r>
      <w:r w:rsidRPr="00AD47FB">
        <w:t>.</w:t>
      </w:r>
    </w:p>
    <w:p w14:paraId="5C9C2B27" w14:textId="4349F198" w:rsidR="00BC3327" w:rsidRPr="002E3F9D" w:rsidRDefault="00502CCC" w:rsidP="00A53E91">
      <w:pPr>
        <w:spacing w:line="240" w:lineRule="auto"/>
        <w:rPr>
          <w:iCs/>
        </w:rPr>
      </w:pPr>
      <w:r w:rsidRPr="004F49A3">
        <w:rPr>
          <w:b/>
          <w:bCs/>
        </w:rPr>
        <w:t xml:space="preserve">Qualified </w:t>
      </w:r>
      <w:r w:rsidR="002E238C">
        <w:rPr>
          <w:b/>
          <w:bCs/>
        </w:rPr>
        <w:t>h</w:t>
      </w:r>
      <w:r w:rsidRPr="004F49A3">
        <w:rPr>
          <w:b/>
          <w:bCs/>
        </w:rPr>
        <w:t xml:space="preserve">ealth </w:t>
      </w:r>
      <w:r w:rsidR="002E238C">
        <w:rPr>
          <w:b/>
          <w:bCs/>
        </w:rPr>
        <w:t>p</w:t>
      </w:r>
      <w:r w:rsidRPr="004F49A3">
        <w:rPr>
          <w:b/>
          <w:bCs/>
        </w:rPr>
        <w:t xml:space="preserve">lan (QHP): </w:t>
      </w:r>
      <w:r w:rsidR="009318BA" w:rsidRPr="004F49A3">
        <w:rPr>
          <w:iCs/>
        </w:rPr>
        <w:t xml:space="preserve">An insurance plan that is certified by </w:t>
      </w:r>
      <w:r w:rsidR="009318BA">
        <w:rPr>
          <w:iCs/>
        </w:rPr>
        <w:t>Georgia Access, p</w:t>
      </w:r>
      <w:r w:rsidR="009318BA" w:rsidRPr="004F49A3">
        <w:rPr>
          <w:iCs/>
        </w:rPr>
        <w:t xml:space="preserve">rovides </w:t>
      </w:r>
      <w:r w:rsidR="009318BA">
        <w:rPr>
          <w:iCs/>
        </w:rPr>
        <w:t xml:space="preserve">EHBs, </w:t>
      </w:r>
      <w:r w:rsidR="009318BA" w:rsidRPr="004F49A3">
        <w:rPr>
          <w:iCs/>
        </w:rPr>
        <w:t>follows established limits on cost sharing</w:t>
      </w:r>
      <w:r w:rsidR="009318BA">
        <w:rPr>
          <w:iCs/>
        </w:rPr>
        <w:t>, and meets other requirements outlined by the Exchange.</w:t>
      </w:r>
    </w:p>
    <w:p w14:paraId="371878FD" w14:textId="6C59AF7A" w:rsidR="00502CCC" w:rsidRDefault="00502CCC" w:rsidP="00A53E91">
      <w:pPr>
        <w:spacing w:line="240" w:lineRule="auto"/>
      </w:pPr>
      <w:r w:rsidRPr="04F74BE1">
        <w:rPr>
          <w:b/>
          <w:bCs/>
        </w:rPr>
        <w:t xml:space="preserve">Special Enrollment Period (SEP): </w:t>
      </w:r>
      <w:r w:rsidR="000A73DA">
        <w:t xml:space="preserve">A time outside of OE when consumers can sign up for health insurance if they experience a </w:t>
      </w:r>
      <w:r w:rsidR="402A88A1">
        <w:t>qualifying life event (</w:t>
      </w:r>
      <w:r w:rsidR="000A73DA">
        <w:t>QLE</w:t>
      </w:r>
      <w:r w:rsidR="32D56887">
        <w:t>)</w:t>
      </w:r>
      <w:r w:rsidR="000A73DA">
        <w:t>. Consumers can qualify for an SEP if they’ve experienced certain life events such as moving, getting married, having a child, or losing job-based coverage.</w:t>
      </w:r>
    </w:p>
    <w:p w14:paraId="1D3464A0" w14:textId="35AF79AF" w:rsidR="009A5B47" w:rsidRPr="00420BA9" w:rsidRDefault="461FBF29" w:rsidP="428E3552">
      <w:pPr>
        <w:spacing w:line="240" w:lineRule="auto"/>
        <w:rPr>
          <w:rFonts w:eastAsia="Times New Roman"/>
          <w:color w:val="000000" w:themeColor="text1"/>
        </w:rPr>
      </w:pPr>
      <w:r w:rsidRPr="004F49A3">
        <w:rPr>
          <w:b/>
          <w:bCs/>
        </w:rPr>
        <w:t xml:space="preserve">Stand-alone </w:t>
      </w:r>
      <w:r w:rsidR="7465CD17">
        <w:rPr>
          <w:b/>
          <w:bCs/>
        </w:rPr>
        <w:t>d</w:t>
      </w:r>
      <w:r w:rsidRPr="004F49A3">
        <w:rPr>
          <w:b/>
          <w:bCs/>
        </w:rPr>
        <w:t xml:space="preserve">ental </w:t>
      </w:r>
      <w:r w:rsidR="7465CD17">
        <w:rPr>
          <w:b/>
          <w:bCs/>
        </w:rPr>
        <w:t>p</w:t>
      </w:r>
      <w:r w:rsidRPr="004F49A3">
        <w:rPr>
          <w:b/>
          <w:bCs/>
        </w:rPr>
        <w:t xml:space="preserve">lan (SADP): </w:t>
      </w:r>
      <w:r w:rsidRPr="0E755E34">
        <w:rPr>
          <w:rFonts w:eastAsia="Times New Roman"/>
          <w:color w:val="000000"/>
          <w:position w:val="2"/>
        </w:rPr>
        <w:t xml:space="preserve">A dental plan that is </w:t>
      </w:r>
      <w:r w:rsidR="13E7931A" w:rsidRPr="0E755E34">
        <w:rPr>
          <w:rFonts w:eastAsia="Times New Roman"/>
          <w:color w:val="000000"/>
          <w:position w:val="2"/>
        </w:rPr>
        <w:t xml:space="preserve">not included as part of a health plan. SADPs are available for consumers to buy </w:t>
      </w:r>
      <w:r w:rsidR="3626C392" w:rsidRPr="0E755E34">
        <w:rPr>
          <w:rFonts w:eastAsia="Times New Roman"/>
          <w:color w:val="000000"/>
          <w:position w:val="2"/>
        </w:rPr>
        <w:t>without being enrolled in a QHP,</w:t>
      </w:r>
      <w:r w:rsidR="0FDA7852" w:rsidRPr="0E755E34">
        <w:rPr>
          <w:rFonts w:eastAsia="Times New Roman"/>
          <w:color w:val="000000"/>
          <w:position w:val="2"/>
        </w:rPr>
        <w:t xml:space="preserve"> </w:t>
      </w:r>
      <w:proofErr w:type="gramStart"/>
      <w:r w:rsidR="0FDA7852" w:rsidRPr="0E755E34">
        <w:rPr>
          <w:rFonts w:eastAsia="Times New Roman"/>
          <w:color w:val="000000"/>
          <w:position w:val="2"/>
        </w:rPr>
        <w:t>unless enrolling</w:t>
      </w:r>
      <w:proofErr w:type="gramEnd"/>
      <w:r w:rsidR="0FDA7852" w:rsidRPr="0E755E34">
        <w:rPr>
          <w:rFonts w:eastAsia="Times New Roman"/>
          <w:color w:val="000000"/>
          <w:position w:val="2"/>
        </w:rPr>
        <w:t xml:space="preserve"> via an EDE.  The consumer will need to meet QHP eligibility </w:t>
      </w:r>
      <w:r w:rsidR="59221924" w:rsidRPr="428E3552">
        <w:rPr>
          <w:rFonts w:eastAsia="Times New Roman"/>
          <w:color w:val="000000" w:themeColor="text1"/>
        </w:rPr>
        <w:t>requirements</w:t>
      </w:r>
      <w:r w:rsidR="59221924" w:rsidRPr="0E755E34">
        <w:rPr>
          <w:rFonts w:eastAsia="Times New Roman"/>
          <w:color w:val="000000"/>
          <w:position w:val="2"/>
        </w:rPr>
        <w:t xml:space="preserve">. </w:t>
      </w:r>
    </w:p>
    <w:p w14:paraId="4F6F9644" w14:textId="5B22C561" w:rsidR="005C1245" w:rsidRDefault="005712AE" w:rsidP="00A53E91">
      <w:pPr>
        <w:spacing w:line="240" w:lineRule="auto"/>
        <w:rPr>
          <w:rFonts w:cstheme="minorHAnsi"/>
        </w:rPr>
      </w:pPr>
      <w:r>
        <w:rPr>
          <w:rFonts w:cstheme="minorHAnsi"/>
          <w:b/>
          <w:bCs/>
        </w:rPr>
        <w:t>System for Electronic Rate</w:t>
      </w:r>
      <w:r w:rsidR="009711C1">
        <w:rPr>
          <w:rFonts w:cstheme="minorHAnsi"/>
          <w:b/>
          <w:bCs/>
        </w:rPr>
        <w:t>s</w:t>
      </w:r>
      <w:r>
        <w:rPr>
          <w:rFonts w:cstheme="minorHAnsi"/>
          <w:b/>
          <w:bCs/>
        </w:rPr>
        <w:t xml:space="preserve"> </w:t>
      </w:r>
      <w:r w:rsidR="009711C1">
        <w:rPr>
          <w:rFonts w:cstheme="minorHAnsi"/>
          <w:b/>
          <w:bCs/>
        </w:rPr>
        <w:t xml:space="preserve">&amp; </w:t>
      </w:r>
      <w:r>
        <w:rPr>
          <w:rFonts w:cstheme="minorHAnsi"/>
          <w:b/>
          <w:bCs/>
        </w:rPr>
        <w:t>Form</w:t>
      </w:r>
      <w:r w:rsidR="009711C1">
        <w:rPr>
          <w:rFonts w:cstheme="minorHAnsi"/>
          <w:b/>
          <w:bCs/>
        </w:rPr>
        <w:t>s</w:t>
      </w:r>
      <w:r>
        <w:rPr>
          <w:rFonts w:cstheme="minorHAnsi"/>
          <w:b/>
          <w:bCs/>
        </w:rPr>
        <w:t xml:space="preserve"> Filing (SERFF): </w:t>
      </w:r>
      <w:r w:rsidR="00134C72" w:rsidRPr="00623F0C">
        <w:rPr>
          <w:rFonts w:cstheme="minorHAnsi"/>
        </w:rPr>
        <w:t xml:space="preserve">The electronic system used by insurance companies and OCI to upload and review plan data. Plan certification and decertification decisions are recorded in SERFF. </w:t>
      </w:r>
    </w:p>
    <w:p w14:paraId="25B7FC91" w14:textId="64C2119D" w:rsidR="00890E9E" w:rsidRDefault="00890E9E" w:rsidP="00A53E91">
      <w:pPr>
        <w:spacing w:line="240" w:lineRule="auto"/>
      </w:pPr>
      <w:r w:rsidRPr="00E46337">
        <w:rPr>
          <w:b/>
          <w:bCs/>
        </w:rPr>
        <w:t>Technology provider:</w:t>
      </w:r>
      <w:r>
        <w:t xml:space="preserve"> EDE Partners</w:t>
      </w:r>
      <w:r w:rsidRPr="007E0216">
        <w:t xml:space="preserve"> that legally own </w:t>
      </w:r>
      <w:r>
        <w:t xml:space="preserve">and operate </w:t>
      </w:r>
      <w:r w:rsidRPr="007E0216">
        <w:t xml:space="preserve">the </w:t>
      </w:r>
      <w:r>
        <w:t>underlying technology</w:t>
      </w:r>
      <w:r w:rsidRPr="007E0216">
        <w:t xml:space="preserve"> platform</w:t>
      </w:r>
      <w:r>
        <w:t xml:space="preserve">s leveraged by </w:t>
      </w:r>
      <w:r w:rsidR="00710174">
        <w:t>insurance companies</w:t>
      </w:r>
      <w:r>
        <w:t xml:space="preserve"> and web brokers to facilitate consumer direct enrollment in QHPs</w:t>
      </w:r>
      <w:r w:rsidR="008849E5">
        <w:t xml:space="preserve"> </w:t>
      </w:r>
      <w:r>
        <w:t>and SADPs. To be considered a technology provider for Georgia Access, an entity must hold FFE EDE certification as a DE technology provider.</w:t>
      </w:r>
    </w:p>
    <w:p w14:paraId="3DC34625" w14:textId="29A49494" w:rsidR="006C20D1" w:rsidRPr="006C20D1" w:rsidRDefault="006C20D1" w:rsidP="00A53E91">
      <w:pPr>
        <w:spacing w:beforeLines="20" w:before="48" w:afterLines="60" w:after="144" w:line="240" w:lineRule="auto"/>
        <w:rPr>
          <w:iCs/>
        </w:rPr>
      </w:pPr>
      <w:r w:rsidRPr="00C405C1">
        <w:rPr>
          <w:b/>
          <w:bCs/>
        </w:rPr>
        <w:lastRenderedPageBreak/>
        <w:t>Upstream</w:t>
      </w:r>
      <w:r>
        <w:rPr>
          <w:b/>
          <w:bCs/>
        </w:rPr>
        <w:t xml:space="preserve"> EDE</w:t>
      </w:r>
      <w:r w:rsidRPr="00C405C1">
        <w:rPr>
          <w:b/>
          <w:bCs/>
        </w:rPr>
        <w:t xml:space="preserve"> entity:</w:t>
      </w:r>
      <w:r>
        <w:t xml:space="preserve"> </w:t>
      </w:r>
      <w:r>
        <w:rPr>
          <w:iCs/>
        </w:rPr>
        <w:t xml:space="preserve">EDE Partners that leverage a technology platform owned by a separate primary entity (namely a technology provider) to provide consumers with plan shopping, selection, and enrollment services. Web brokers and </w:t>
      </w:r>
      <w:r w:rsidR="00710174">
        <w:rPr>
          <w:iCs/>
        </w:rPr>
        <w:t>insurance companies</w:t>
      </w:r>
      <w:r>
        <w:rPr>
          <w:iCs/>
        </w:rPr>
        <w:t xml:space="preserve"> that leverage a separate technology provider’s platform are upstream entities.</w:t>
      </w:r>
    </w:p>
    <w:p w14:paraId="3E16FE1D" w14:textId="692A4616" w:rsidR="00890E9E" w:rsidRDefault="00890E9E" w:rsidP="00A53E91">
      <w:pPr>
        <w:spacing w:line="240" w:lineRule="auto"/>
      </w:pPr>
      <w:r w:rsidRPr="00393F79">
        <w:rPr>
          <w:b/>
          <w:bCs/>
        </w:rPr>
        <w:t>Web</w:t>
      </w:r>
      <w:r>
        <w:rPr>
          <w:b/>
          <w:bCs/>
        </w:rPr>
        <w:t xml:space="preserve"> </w:t>
      </w:r>
      <w:r w:rsidRPr="00393F79">
        <w:rPr>
          <w:b/>
          <w:bCs/>
        </w:rPr>
        <w:t xml:space="preserve">broker: </w:t>
      </w:r>
      <w:r w:rsidR="00603A65">
        <w:t>ED</w:t>
      </w:r>
      <w:r>
        <w:t xml:space="preserve">E Partners that facilitate consumer direct enrollment in QHPs and/or SADPs via a technology platform. Web brokers display plans across all </w:t>
      </w:r>
      <w:r w:rsidR="00710174">
        <w:t>insurance companies</w:t>
      </w:r>
      <w:r>
        <w:t xml:space="preserve"> participating in Georgia Access. To be considered a web broker for Georgia Access, an entity must hold FFE EDE </w:t>
      </w:r>
      <w:r w:rsidR="004F53E9">
        <w:t xml:space="preserve">and Georgia Access EDE </w:t>
      </w:r>
      <w:r>
        <w:t>certification as a web broker.</w:t>
      </w:r>
      <w:r w:rsidRPr="00823EDB">
        <w:t xml:space="preserve"> </w:t>
      </w:r>
      <w:r>
        <w:t>Web brokers that own and operate their underlying technology platform are also considered technology providers.</w:t>
      </w:r>
    </w:p>
    <w:p w14:paraId="7A3E5D74" w14:textId="3315DA9A" w:rsidR="00890E9E" w:rsidRPr="00C405C1" w:rsidRDefault="00890E9E" w:rsidP="04F74BE1">
      <w:pPr>
        <w:spacing w:beforeLines="20" w:before="48" w:afterLines="60" w:after="144" w:line="240" w:lineRule="auto"/>
      </w:pPr>
      <w:r w:rsidRPr="04F74BE1">
        <w:rPr>
          <w:b/>
          <w:bCs/>
        </w:rPr>
        <w:t xml:space="preserve">White-label </w:t>
      </w:r>
      <w:r w:rsidR="00F411DF" w:rsidRPr="04F74BE1">
        <w:rPr>
          <w:b/>
          <w:bCs/>
        </w:rPr>
        <w:t xml:space="preserve">issuers </w:t>
      </w:r>
      <w:r w:rsidRPr="04F74BE1">
        <w:rPr>
          <w:b/>
          <w:bCs/>
        </w:rPr>
        <w:t>upstream EDE entity:</w:t>
      </w:r>
      <w:r w:rsidR="00D41270">
        <w:t xml:space="preserve"> U</w:t>
      </w:r>
      <w:r>
        <w:t>pstream EDE</w:t>
      </w:r>
      <w:r w:rsidR="005967E3">
        <w:t xml:space="preserve"> issuer</w:t>
      </w:r>
      <w:r>
        <w:t>s that utilize a primary EDE’s technology platform and application and only make minor branding and QHP display changes that do not change the consumer experience.</w:t>
      </w:r>
    </w:p>
    <w:p w14:paraId="5CF1625C" w14:textId="04F82C14" w:rsidR="00D117D4" w:rsidRDefault="00D117D4" w:rsidP="00A53E91">
      <w:pPr>
        <w:pStyle w:val="Heading1"/>
        <w:spacing w:line="240" w:lineRule="auto"/>
      </w:pPr>
      <w:bookmarkStart w:id="34" w:name="_Toc120839765"/>
      <w:bookmarkStart w:id="35" w:name="_Toc120839816"/>
      <w:bookmarkStart w:id="36" w:name="_Eligibility_–_QHPs"/>
      <w:bookmarkStart w:id="37" w:name="_Toc156928977"/>
      <w:bookmarkStart w:id="38" w:name="_EDE_Partner_Policies"/>
      <w:bookmarkStart w:id="39" w:name="_Toc209003033"/>
      <w:bookmarkStart w:id="40" w:name="_Toc109659895"/>
      <w:bookmarkStart w:id="41" w:name="_Toc138950387"/>
      <w:bookmarkEnd w:id="34"/>
      <w:bookmarkEnd w:id="35"/>
      <w:bookmarkEnd w:id="36"/>
      <w:bookmarkEnd w:id="37"/>
      <w:bookmarkEnd w:id="38"/>
      <w:r>
        <w:t xml:space="preserve">EDE </w:t>
      </w:r>
      <w:r w:rsidR="002A7824">
        <w:t xml:space="preserve">Partner </w:t>
      </w:r>
      <w:r>
        <w:t>Policies</w:t>
      </w:r>
      <w:bookmarkEnd w:id="39"/>
    </w:p>
    <w:p w14:paraId="09CAC4F4" w14:textId="2A32CDA7" w:rsidR="00D117D4" w:rsidRDefault="00D117D4" w:rsidP="00A53E91">
      <w:pPr>
        <w:pStyle w:val="Heading2"/>
        <w:spacing w:line="240" w:lineRule="auto"/>
      </w:pPr>
      <w:bookmarkStart w:id="42" w:name="_Toc209003034"/>
      <w:r>
        <w:t>EDE Partner Overview and Requirements</w:t>
      </w:r>
      <w:bookmarkEnd w:id="42"/>
    </w:p>
    <w:p w14:paraId="36923130" w14:textId="4D789DD1" w:rsidR="009C7052" w:rsidRDefault="00B510FA" w:rsidP="00A53E91">
      <w:pPr>
        <w:spacing w:line="240" w:lineRule="auto"/>
      </w:pPr>
      <w:r>
        <w:t xml:space="preserve">This section outlines the initial requirements for private sector entities seeking to become certified as a Georgia Access EDE Partner. </w:t>
      </w:r>
      <w:r w:rsidR="000861F0">
        <w:t xml:space="preserve">EDE Partners are not considered certified until </w:t>
      </w:r>
      <w:r w:rsidR="009C7052">
        <w:t xml:space="preserve">Georgia Access </w:t>
      </w:r>
      <w:r w:rsidR="000861F0">
        <w:t>has</w:t>
      </w:r>
      <w:r w:rsidR="009C7052">
        <w:t xml:space="preserve">: </w:t>
      </w:r>
    </w:p>
    <w:p w14:paraId="4504CAA0" w14:textId="12748F14" w:rsidR="00B510FA" w:rsidRDefault="00B510FA" w:rsidP="008E39B8">
      <w:pPr>
        <w:pStyle w:val="ListParagraph"/>
        <w:numPr>
          <w:ilvl w:val="0"/>
          <w:numId w:val="4"/>
        </w:numPr>
        <w:spacing w:line="240" w:lineRule="auto"/>
      </w:pPr>
      <w:proofErr w:type="gramStart"/>
      <w:r>
        <w:t>Receive</w:t>
      </w:r>
      <w:r w:rsidR="001C5AF8">
        <w:t>d</w:t>
      </w:r>
      <w:proofErr w:type="gramEnd"/>
      <w:r>
        <w:t xml:space="preserve"> </w:t>
      </w:r>
      <w:r w:rsidR="004F4475">
        <w:t>a</w:t>
      </w:r>
      <w:r>
        <w:t xml:space="preserve"> </w:t>
      </w:r>
      <w:r w:rsidR="007B75CE">
        <w:t xml:space="preserve">complete </w:t>
      </w:r>
      <w:r>
        <w:t>application from an EDE Partner applicant.</w:t>
      </w:r>
    </w:p>
    <w:p w14:paraId="63DE22EE" w14:textId="5BA8217D" w:rsidR="00B510FA" w:rsidRDefault="00B510FA" w:rsidP="008E39B8">
      <w:pPr>
        <w:pStyle w:val="ListParagraph"/>
        <w:numPr>
          <w:ilvl w:val="0"/>
          <w:numId w:val="4"/>
        </w:numPr>
        <w:spacing w:line="240" w:lineRule="auto"/>
      </w:pPr>
      <w:r>
        <w:t>Confirm</w:t>
      </w:r>
      <w:r w:rsidR="001C5AF8">
        <w:t>ed</w:t>
      </w:r>
      <w:r>
        <w:t xml:space="preserve"> the EDE Partner applicant is certified by </w:t>
      </w:r>
      <w:r w:rsidR="00037E02" w:rsidRPr="04F74BE1">
        <w:t xml:space="preserve">The Center for Consumer Information and Insurance Oversight (CCIIO) </w:t>
      </w:r>
      <w:r>
        <w:t xml:space="preserve">to participate </w:t>
      </w:r>
      <w:proofErr w:type="gramStart"/>
      <w:r>
        <w:t>on</w:t>
      </w:r>
      <w:proofErr w:type="gramEnd"/>
      <w:r>
        <w:t xml:space="preserve"> the FFE as an FFE EDE entity.</w:t>
      </w:r>
    </w:p>
    <w:p w14:paraId="5BEEF740" w14:textId="55C26B3C" w:rsidR="00B510FA" w:rsidRDefault="00B510FA" w:rsidP="008E39B8">
      <w:pPr>
        <w:pStyle w:val="ListParagraph"/>
        <w:numPr>
          <w:ilvl w:val="0"/>
          <w:numId w:val="4"/>
        </w:numPr>
        <w:spacing w:line="240" w:lineRule="auto"/>
      </w:pPr>
      <w:r>
        <w:t>Confirm</w:t>
      </w:r>
      <w:r w:rsidR="001C5AF8">
        <w:t>ed</w:t>
      </w:r>
      <w:r>
        <w:t xml:space="preserve"> the EDE Partner applicant has met all Georgia Access program, technical, consumer application, and privacy and security requirements.</w:t>
      </w:r>
    </w:p>
    <w:p w14:paraId="79903693" w14:textId="6313A35A" w:rsidR="00B510FA" w:rsidRDefault="00B510FA" w:rsidP="008E39B8">
      <w:pPr>
        <w:pStyle w:val="ListParagraph"/>
        <w:numPr>
          <w:ilvl w:val="0"/>
          <w:numId w:val="4"/>
        </w:numPr>
        <w:spacing w:line="240" w:lineRule="auto"/>
      </w:pPr>
      <w:r>
        <w:t>Conduct</w:t>
      </w:r>
      <w:r w:rsidR="001C5AF8">
        <w:t>ed</w:t>
      </w:r>
      <w:r>
        <w:t xml:space="preserve"> an operational readiness review </w:t>
      </w:r>
      <w:r w:rsidR="000861F0">
        <w:t xml:space="preserve">(ORR) </w:t>
      </w:r>
      <w:r>
        <w:t>to confirm the EDE Partner applicant’s readiness to participate in Georgia Access.</w:t>
      </w:r>
    </w:p>
    <w:p w14:paraId="5F3F0EC6" w14:textId="15D3A714" w:rsidR="00B510FA" w:rsidRPr="00680302" w:rsidRDefault="00557CD7" w:rsidP="008E39B8">
      <w:pPr>
        <w:pStyle w:val="ListParagraph"/>
        <w:numPr>
          <w:ilvl w:val="0"/>
          <w:numId w:val="4"/>
        </w:numPr>
        <w:spacing w:line="240" w:lineRule="auto"/>
      </w:pPr>
      <w:r>
        <w:t>Certified the EDE Partner applicant as an EDE Partner.</w:t>
      </w:r>
      <w:r w:rsidR="00D70B2C">
        <w:t xml:space="preserve"> </w:t>
      </w:r>
      <w:r w:rsidR="00B510FA">
        <w:t>Under a traditional SBE model, the State operates a consumer portal</w:t>
      </w:r>
      <w:r w:rsidR="000102D1">
        <w:t xml:space="preserve"> </w:t>
      </w:r>
      <w:r w:rsidR="00B510FA">
        <w:t>as the sole enrollment channel for consumers. Georgia Access</w:t>
      </w:r>
      <w:r w:rsidR="00436B22">
        <w:t>, however, uses</w:t>
      </w:r>
      <w:r w:rsidR="00B510FA">
        <w:t xml:space="preserve"> multiple consumer enrollment </w:t>
      </w:r>
      <w:r w:rsidR="002017B7">
        <w:t>channels</w:t>
      </w:r>
      <w:r w:rsidR="00B510FA">
        <w:t xml:space="preserve">: a </w:t>
      </w:r>
      <w:proofErr w:type="gramStart"/>
      <w:r w:rsidR="00B510FA">
        <w:t>State</w:t>
      </w:r>
      <w:proofErr w:type="gramEnd"/>
      <w:r w:rsidR="00B510FA">
        <w:t xml:space="preserve"> consumer portal (</w:t>
      </w:r>
      <w:r w:rsidR="00DE1795">
        <w:t xml:space="preserve">the </w:t>
      </w:r>
      <w:r w:rsidR="00B510FA">
        <w:t xml:space="preserve">Georgia Access Portal) and EDE Partners. Certified </w:t>
      </w:r>
      <w:r w:rsidR="002017B7">
        <w:t>A</w:t>
      </w:r>
      <w:r w:rsidR="00B510FA">
        <w:t xml:space="preserve">gents can also enroll consumers through an EDE Partner or the Georgia Access Portal. </w:t>
      </w:r>
      <w:r w:rsidR="00640C63">
        <w:t>Georgia Access has built requirements for EDE Partners intending to operate on Georgia Access according to federal regulations including:</w:t>
      </w:r>
    </w:p>
    <w:p w14:paraId="1126AC2E" w14:textId="79443600" w:rsidR="00B510FA" w:rsidRPr="00435489" w:rsidRDefault="00B510FA" w:rsidP="008E39B8">
      <w:pPr>
        <w:pStyle w:val="ListParagraph"/>
        <w:numPr>
          <w:ilvl w:val="1"/>
          <w:numId w:val="5"/>
        </w:numPr>
        <w:spacing w:line="240" w:lineRule="auto"/>
        <w:rPr>
          <w:bCs/>
        </w:rPr>
      </w:pPr>
      <w:r w:rsidRPr="00435489">
        <w:rPr>
          <w:bCs/>
        </w:rPr>
        <w:t>Consumer assistance (45 CFR</w:t>
      </w:r>
      <w:r w:rsidRPr="00A53E91">
        <w:rPr>
          <w:bCs/>
        </w:rPr>
        <w:t xml:space="preserve"> </w:t>
      </w:r>
      <w:r w:rsidRPr="00435489">
        <w:rPr>
          <w:bCs/>
        </w:rPr>
        <w:t>155.205)</w:t>
      </w:r>
    </w:p>
    <w:p w14:paraId="13A829EB" w14:textId="68F9847F" w:rsidR="00B510FA" w:rsidRPr="00435489" w:rsidRDefault="00B510FA" w:rsidP="008E39B8">
      <w:pPr>
        <w:pStyle w:val="ListParagraph"/>
        <w:numPr>
          <w:ilvl w:val="1"/>
          <w:numId w:val="5"/>
        </w:numPr>
        <w:spacing w:line="240" w:lineRule="auto"/>
        <w:rPr>
          <w:bCs/>
        </w:rPr>
      </w:pPr>
      <w:r w:rsidRPr="00435489">
        <w:rPr>
          <w:bCs/>
        </w:rPr>
        <w:t>Web brokers (45 CFR</w:t>
      </w:r>
      <w:r w:rsidRPr="00A53E91">
        <w:rPr>
          <w:bCs/>
        </w:rPr>
        <w:t xml:space="preserve"> </w:t>
      </w:r>
      <w:r w:rsidRPr="00435489">
        <w:rPr>
          <w:bCs/>
        </w:rPr>
        <w:t>155.220)</w:t>
      </w:r>
    </w:p>
    <w:p w14:paraId="355CE19B" w14:textId="0C57C10E" w:rsidR="00B510FA" w:rsidRPr="007160E7" w:rsidRDefault="00E878F5" w:rsidP="008E39B8">
      <w:pPr>
        <w:pStyle w:val="ListParagraph"/>
        <w:numPr>
          <w:ilvl w:val="1"/>
          <w:numId w:val="5"/>
        </w:numPr>
        <w:spacing w:line="240" w:lineRule="auto"/>
        <w:rPr>
          <w:bCs/>
          <w:lang w:val="fr-FR"/>
        </w:rPr>
      </w:pPr>
      <w:r w:rsidRPr="007160E7">
        <w:rPr>
          <w:bCs/>
          <w:lang w:val="fr-FR"/>
        </w:rPr>
        <w:t xml:space="preserve">Direct </w:t>
      </w:r>
      <w:proofErr w:type="spellStart"/>
      <w:r w:rsidRPr="007160E7">
        <w:rPr>
          <w:bCs/>
          <w:lang w:val="fr-FR"/>
        </w:rPr>
        <w:t>Enrollment</w:t>
      </w:r>
      <w:proofErr w:type="spellEnd"/>
      <w:r w:rsidRPr="007160E7">
        <w:rPr>
          <w:bCs/>
          <w:lang w:val="fr-FR"/>
        </w:rPr>
        <w:t xml:space="preserve"> (</w:t>
      </w:r>
      <w:r w:rsidR="00B510FA" w:rsidRPr="007160E7">
        <w:rPr>
          <w:bCs/>
          <w:lang w:val="fr-FR"/>
        </w:rPr>
        <w:t>DE</w:t>
      </w:r>
      <w:r w:rsidRPr="007160E7">
        <w:rPr>
          <w:bCs/>
          <w:lang w:val="fr-FR"/>
        </w:rPr>
        <w:t>)</w:t>
      </w:r>
      <w:r w:rsidR="00B510FA" w:rsidRPr="007160E7">
        <w:rPr>
          <w:bCs/>
          <w:lang w:val="fr-FR"/>
        </w:rPr>
        <w:t xml:space="preserve"> </w:t>
      </w:r>
      <w:proofErr w:type="spellStart"/>
      <w:r w:rsidR="00B510FA" w:rsidRPr="007160E7">
        <w:rPr>
          <w:bCs/>
          <w:lang w:val="fr-FR"/>
        </w:rPr>
        <w:t>Entities</w:t>
      </w:r>
      <w:proofErr w:type="spellEnd"/>
      <w:r w:rsidR="00B510FA" w:rsidRPr="007160E7">
        <w:rPr>
          <w:bCs/>
          <w:lang w:val="fr-FR"/>
        </w:rPr>
        <w:t xml:space="preserve"> (45 CFR 155.221)</w:t>
      </w:r>
    </w:p>
    <w:p w14:paraId="4747CADB" w14:textId="3B7AC648" w:rsidR="00B510FA" w:rsidRPr="00435489" w:rsidRDefault="00B510FA" w:rsidP="008E39B8">
      <w:pPr>
        <w:pStyle w:val="ListParagraph"/>
        <w:numPr>
          <w:ilvl w:val="1"/>
          <w:numId w:val="5"/>
        </w:numPr>
        <w:spacing w:line="240" w:lineRule="auto"/>
        <w:rPr>
          <w:bCs/>
        </w:rPr>
      </w:pPr>
      <w:r w:rsidRPr="00435489">
        <w:rPr>
          <w:bCs/>
        </w:rPr>
        <w:t>Notices (45 CFR 155.230)</w:t>
      </w:r>
    </w:p>
    <w:p w14:paraId="1307F5A6" w14:textId="4213B1F1" w:rsidR="003A349F" w:rsidRPr="00435489" w:rsidRDefault="00B510FA" w:rsidP="008E39B8">
      <w:pPr>
        <w:pStyle w:val="ListParagraph"/>
        <w:numPr>
          <w:ilvl w:val="1"/>
          <w:numId w:val="5"/>
        </w:numPr>
        <w:spacing w:line="240" w:lineRule="auto"/>
        <w:rPr>
          <w:bCs/>
        </w:rPr>
      </w:pPr>
      <w:r w:rsidRPr="00435489">
        <w:rPr>
          <w:bCs/>
        </w:rPr>
        <w:t>Privacy &amp; Security (45 CFR 155.260)</w:t>
      </w:r>
    </w:p>
    <w:p w14:paraId="609AD8FB" w14:textId="1129AA69" w:rsidR="00085C32" w:rsidRPr="00194DF4" w:rsidRDefault="00085C32" w:rsidP="00A53E91">
      <w:pPr>
        <w:pStyle w:val="Heading3"/>
        <w:spacing w:line="240" w:lineRule="auto"/>
      </w:pPr>
      <w:bookmarkStart w:id="43" w:name="_Toc209003035"/>
      <w:r>
        <w:t>EDE Partner Overview</w:t>
      </w:r>
      <w:bookmarkEnd w:id="43"/>
    </w:p>
    <w:p w14:paraId="3A747141" w14:textId="054D575A" w:rsidR="00F8073C" w:rsidRDefault="00806911" w:rsidP="00A53E91">
      <w:pPr>
        <w:spacing w:line="240" w:lineRule="auto"/>
      </w:pPr>
      <w:r>
        <w:t>Enrollment on the FFE was traditionally only done through HealthCare.gov</w:t>
      </w:r>
      <w:r w:rsidR="00A3054E">
        <w:t xml:space="preserve"> and “Classic” Direct Enrollment (DE)</w:t>
      </w:r>
      <w:r w:rsidR="004E5C28">
        <w:t xml:space="preserve"> entities</w:t>
      </w:r>
      <w:r w:rsidR="00822E2B">
        <w:t xml:space="preserve">, which </w:t>
      </w:r>
      <w:r w:rsidR="00F8073C">
        <w:t>allow consumers to shop for plans on private sector partner websites while being redirected to HealthCare.gov throughout various points of the enrollment process</w:t>
      </w:r>
      <w:r>
        <w:t xml:space="preserve">. </w:t>
      </w:r>
    </w:p>
    <w:p w14:paraId="599374C7" w14:textId="0DF7D4BA" w:rsidR="00015BEB" w:rsidRPr="00015BEB" w:rsidRDefault="00806911" w:rsidP="00A53E91">
      <w:pPr>
        <w:spacing w:line="240" w:lineRule="auto"/>
      </w:pPr>
      <w:r>
        <w:t xml:space="preserve">Beginning in </w:t>
      </w:r>
      <w:r w:rsidR="00F8073C">
        <w:t xml:space="preserve">OE </w:t>
      </w:r>
      <w:r>
        <w:t>2019</w:t>
      </w:r>
      <w:r w:rsidR="00F8073C">
        <w:t>,</w:t>
      </w:r>
      <w:r>
        <w:t xml:space="preserve"> CMS rolled out the EDE </w:t>
      </w:r>
      <w:r w:rsidR="00AA3036">
        <w:t>pathway</w:t>
      </w:r>
      <w:r>
        <w:t xml:space="preserve">, allowing consumers more options to enroll in health insurance. </w:t>
      </w:r>
      <w:r w:rsidR="004C4569" w:rsidRPr="00194DF4">
        <w:t xml:space="preserve">CCIIO certifies private sector partners as FFE EDE entities to provide consumers with </w:t>
      </w:r>
      <w:r w:rsidR="0065369F">
        <w:t>an end-</w:t>
      </w:r>
      <w:proofErr w:type="gramStart"/>
      <w:r w:rsidR="0065369F">
        <w:t>to-</w:t>
      </w:r>
      <w:proofErr w:type="gramEnd"/>
      <w:r w:rsidR="0065369F">
        <w:t xml:space="preserve">end application, </w:t>
      </w:r>
      <w:r w:rsidR="004C4569" w:rsidRPr="00194DF4">
        <w:t>plan shopping</w:t>
      </w:r>
      <w:r w:rsidR="0065369F">
        <w:t>,</w:t>
      </w:r>
      <w:r w:rsidR="004C4569" w:rsidRPr="00194DF4">
        <w:t xml:space="preserve"> and enrollment </w:t>
      </w:r>
      <w:r w:rsidR="0065369F">
        <w:t>experience on the FFE</w:t>
      </w:r>
      <w:r w:rsidR="004C4569" w:rsidRPr="00194DF4">
        <w:t>. FFE EDE entities offer an alternative enrollment option to HealthCare.gov</w:t>
      </w:r>
      <w:r w:rsidR="00704888">
        <w:t>.</w:t>
      </w:r>
    </w:p>
    <w:p w14:paraId="62252A9E" w14:textId="4D295FC3" w:rsidR="00FF2D09" w:rsidRPr="00195107" w:rsidRDefault="00FF2D09" w:rsidP="00A53E91">
      <w:pPr>
        <w:pStyle w:val="Heading4"/>
        <w:spacing w:line="240" w:lineRule="auto"/>
      </w:pPr>
      <w:r w:rsidRPr="00195107">
        <w:lastRenderedPageBreak/>
        <w:t>EDE Partner Types and Classifications</w:t>
      </w:r>
    </w:p>
    <w:p w14:paraId="0DAB2C26" w14:textId="4E9CF19D" w:rsidR="00AF5B13" w:rsidRPr="00195107" w:rsidRDefault="008406FA" w:rsidP="00A53E91">
      <w:pPr>
        <w:spacing w:line="240" w:lineRule="auto"/>
      </w:pPr>
      <w:r w:rsidRPr="00195107">
        <w:t xml:space="preserve">EDE Partners are certified by Georgia Access to facilitate consumer shopping and enrollment. EDE Partners are </w:t>
      </w:r>
      <w:r w:rsidR="00FC0E59">
        <w:t>certified as one of four entity types:</w:t>
      </w:r>
    </w:p>
    <w:p w14:paraId="490C1AA3" w14:textId="60F86D05" w:rsidR="00AF5B13" w:rsidRPr="00AF5B13" w:rsidRDefault="008406FA" w:rsidP="008E39B8">
      <w:pPr>
        <w:pStyle w:val="ListParagraph"/>
        <w:numPr>
          <w:ilvl w:val="0"/>
          <w:numId w:val="31"/>
        </w:numPr>
        <w:spacing w:line="240" w:lineRule="auto"/>
      </w:pPr>
      <w:r w:rsidRPr="00745959">
        <w:t>Primary EDE entities</w:t>
      </w:r>
    </w:p>
    <w:p w14:paraId="5F7D551A" w14:textId="7D73F3D7" w:rsidR="00AF5B13" w:rsidRPr="00AF5B13" w:rsidRDefault="00414577" w:rsidP="008E39B8">
      <w:pPr>
        <w:pStyle w:val="ListParagraph"/>
        <w:numPr>
          <w:ilvl w:val="0"/>
          <w:numId w:val="31"/>
        </w:numPr>
        <w:spacing w:line="240" w:lineRule="auto"/>
      </w:pPr>
      <w:r w:rsidRPr="00745959">
        <w:t xml:space="preserve">Hybrid </w:t>
      </w:r>
      <w:r w:rsidR="00FC6FBD" w:rsidRPr="00745959">
        <w:t>non-issuers</w:t>
      </w:r>
    </w:p>
    <w:p w14:paraId="49FAF960" w14:textId="35046B8E" w:rsidR="00AF5B13" w:rsidRPr="00003FD2" w:rsidRDefault="00A81865" w:rsidP="008E39B8">
      <w:pPr>
        <w:pStyle w:val="ListParagraph"/>
        <w:numPr>
          <w:ilvl w:val="0"/>
          <w:numId w:val="31"/>
        </w:numPr>
        <w:spacing w:line="240" w:lineRule="auto"/>
      </w:pPr>
      <w:r w:rsidRPr="00745959">
        <w:t xml:space="preserve">Hybrid </w:t>
      </w:r>
      <w:r w:rsidR="00FC6FBD" w:rsidRPr="00745959">
        <w:t>issuer</w:t>
      </w:r>
      <w:r w:rsidR="00EE2DC7" w:rsidRPr="00745959">
        <w:t>s</w:t>
      </w:r>
    </w:p>
    <w:p w14:paraId="139D7582" w14:textId="16A1C5D5" w:rsidR="001210EC" w:rsidRDefault="00B7305F" w:rsidP="008E39B8">
      <w:pPr>
        <w:pStyle w:val="ListParagraph"/>
        <w:numPr>
          <w:ilvl w:val="0"/>
          <w:numId w:val="31"/>
        </w:numPr>
        <w:spacing w:line="240" w:lineRule="auto"/>
      </w:pPr>
      <w:r w:rsidRPr="00745959">
        <w:t xml:space="preserve">White-label </w:t>
      </w:r>
      <w:r w:rsidR="00FC6FBD" w:rsidRPr="00745959">
        <w:t>issuer</w:t>
      </w:r>
      <w:r w:rsidR="00EE2DC7" w:rsidRPr="00745959">
        <w:t>s</w:t>
      </w:r>
    </w:p>
    <w:p w14:paraId="7FB2CAAE" w14:textId="319C37BA" w:rsidR="00811402" w:rsidRPr="001210EC" w:rsidRDefault="00811402" w:rsidP="00A53E91">
      <w:pPr>
        <w:spacing w:line="240" w:lineRule="auto"/>
      </w:pPr>
      <w:r>
        <w:t>The diagram below illustrates</w:t>
      </w:r>
      <w:r w:rsidR="00627F01">
        <w:t xml:space="preserve"> how entities may be classified as EDE Partners. </w:t>
      </w:r>
      <w:r w:rsidR="00BA185D">
        <w:t>For instance, all technology providers are primary EDEs, but web brokers can be primary</w:t>
      </w:r>
      <w:r w:rsidR="007C07D6">
        <w:t xml:space="preserve"> or upstream EDEs. </w:t>
      </w:r>
    </w:p>
    <w:p w14:paraId="257FE5D2" w14:textId="16ECA7D1" w:rsidR="00B015D2" w:rsidRPr="001210EC" w:rsidRDefault="00726EAB" w:rsidP="00A53E91">
      <w:pPr>
        <w:spacing w:line="240" w:lineRule="auto"/>
      </w:pPr>
      <w:r>
        <w:rPr>
          <w:noProof/>
        </w:rPr>
        <w:drawing>
          <wp:inline distT="0" distB="0" distL="0" distR="0" wp14:anchorId="614727C6" wp14:editId="30043DC0">
            <wp:extent cx="5905500" cy="1675285"/>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52308" cy="1716932"/>
                    </a:xfrm>
                    <a:prstGeom prst="rect">
                      <a:avLst/>
                    </a:prstGeom>
                    <a:noFill/>
                  </pic:spPr>
                </pic:pic>
              </a:graphicData>
            </a:graphic>
          </wp:inline>
        </w:drawing>
      </w:r>
    </w:p>
    <w:p w14:paraId="38DCAFD7" w14:textId="21DA7CFC" w:rsidR="00FF2D09" w:rsidRPr="00D94134" w:rsidRDefault="00FF2D09" w:rsidP="00A53E91">
      <w:pPr>
        <w:pStyle w:val="Heading4"/>
        <w:spacing w:line="240" w:lineRule="auto"/>
      </w:pPr>
      <w:bookmarkStart w:id="44" w:name="_Georgia_Access_EDE"/>
      <w:bookmarkEnd w:id="44"/>
      <w:r w:rsidRPr="00D94134">
        <w:t>Georgia Access EDE Partner Certification Phases</w:t>
      </w:r>
    </w:p>
    <w:p w14:paraId="3B335EC1" w14:textId="40D7FB41" w:rsidR="00543418" w:rsidRPr="00D94134" w:rsidRDefault="00543418" w:rsidP="00A53E91">
      <w:pPr>
        <w:spacing w:line="240" w:lineRule="auto"/>
      </w:pPr>
      <w:r>
        <w:t xml:space="preserve">EDE Partners that are primary entities are certified at </w:t>
      </w:r>
      <w:r w:rsidR="23448100">
        <w:t xml:space="preserve">Phase 2 or Phase 3 </w:t>
      </w:r>
      <w:r>
        <w:t>phases for Georgia Access based on the types of consumer enrollment scenarios they support. EDE Partners that are upstream entities assume the phase of their primary entity and are not permitted to support consumer enrollment scenarios beyond those supported by their primary entity.</w:t>
      </w:r>
    </w:p>
    <w:p w14:paraId="3CC6DBD8" w14:textId="77777777" w:rsidR="00543418" w:rsidRPr="00D94134" w:rsidRDefault="00543418" w:rsidP="00A53E91">
      <w:pPr>
        <w:spacing w:line="240" w:lineRule="auto"/>
      </w:pPr>
      <w:r w:rsidRPr="00D94134">
        <w:t>Georgia Access certification phases mirror FFE EDE entity certification phases. EDE Partners are certified at their FFE EDE entity certification phase unless an EDE Partner requests a phase change or an enhanced phase change after the initial year.</w:t>
      </w:r>
    </w:p>
    <w:p w14:paraId="1C2004F6" w14:textId="77777777" w:rsidR="00543418" w:rsidRPr="00D94134" w:rsidRDefault="00543418" w:rsidP="00A53E91">
      <w:pPr>
        <w:spacing w:line="240" w:lineRule="auto"/>
      </w:pPr>
      <w:r w:rsidRPr="00D94134">
        <w:t>EDE Partners support the following consumer enrollment scenarios at each certification phase:</w:t>
      </w:r>
    </w:p>
    <w:p w14:paraId="6192A6F4" w14:textId="7F1ACC41" w:rsidR="00543418" w:rsidRPr="00D94134" w:rsidRDefault="2909AD88" w:rsidP="008E39B8">
      <w:pPr>
        <w:pStyle w:val="ListParagraph"/>
        <w:numPr>
          <w:ilvl w:val="0"/>
          <w:numId w:val="5"/>
        </w:numPr>
        <w:spacing w:line="240" w:lineRule="auto"/>
      </w:pPr>
      <w:r w:rsidRPr="2114FA65">
        <w:rPr>
          <w:b/>
          <w:bCs/>
        </w:rPr>
        <w:t>Phase 1</w:t>
      </w:r>
      <w:r>
        <w:t xml:space="preserve">: </w:t>
      </w:r>
      <w:r w:rsidR="3970EFC5">
        <w:t>As of PY 2024, Georgia Access no longer supports Phase 1 EDEs. All Phase 1 consumer enrollment scenarios are subsumed under Phase 2.</w:t>
      </w:r>
    </w:p>
    <w:p w14:paraId="1C0A0A59" w14:textId="11077D1A" w:rsidR="00543418" w:rsidRPr="00D94134" w:rsidRDefault="2909AD88" w:rsidP="008E39B8">
      <w:pPr>
        <w:pStyle w:val="ListParagraph"/>
        <w:numPr>
          <w:ilvl w:val="0"/>
          <w:numId w:val="5"/>
        </w:numPr>
        <w:spacing w:line="240" w:lineRule="auto"/>
      </w:pPr>
      <w:r w:rsidRPr="2114FA65">
        <w:rPr>
          <w:b/>
          <w:bCs/>
        </w:rPr>
        <w:t>Phase 2</w:t>
      </w:r>
      <w:r>
        <w:t xml:space="preserve">: </w:t>
      </w:r>
      <w:r w:rsidR="24A15DE8">
        <w:t>Supports the</w:t>
      </w:r>
      <w:r w:rsidR="7079CD7B">
        <w:t xml:space="preserve"> </w:t>
      </w:r>
      <w:r>
        <w:t xml:space="preserve">consumer enrollment scenarios </w:t>
      </w:r>
      <w:r w:rsidR="157EB933">
        <w:t>listed below</w:t>
      </w:r>
      <w:r>
        <w:t xml:space="preserve">. For any enrollment scenarios not </w:t>
      </w:r>
      <w:r w:rsidR="157EB933">
        <w:t>supported</w:t>
      </w:r>
      <w:r>
        <w:t>, Phase 2 EDE Partners must redirect to a Phase 3 EDE Partner via an approved handoff or to the Georgia Access Portal. Phase 2</w:t>
      </w:r>
      <w:r w:rsidR="5D20680F">
        <w:t>-supported enrollment scenarios</w:t>
      </w:r>
      <w:r w:rsidR="11E314EF">
        <w:t xml:space="preserve"> include</w:t>
      </w:r>
      <w:r>
        <w:t>:</w:t>
      </w:r>
    </w:p>
    <w:p w14:paraId="605E0465" w14:textId="70E9CF78" w:rsidR="00543418" w:rsidRPr="00D94134" w:rsidRDefault="2BC71F25" w:rsidP="008E39B8">
      <w:pPr>
        <w:pStyle w:val="ListParagraph"/>
        <w:numPr>
          <w:ilvl w:val="1"/>
          <w:numId w:val="5"/>
        </w:numPr>
        <w:spacing w:after="0" w:afterAutospacing="1" w:line="240" w:lineRule="auto"/>
      </w:pPr>
      <w:r>
        <w:t>Single applicants</w:t>
      </w:r>
    </w:p>
    <w:p w14:paraId="0F4BA670" w14:textId="77777777" w:rsidR="00543418" w:rsidRPr="00D94134" w:rsidRDefault="2BC71F25" w:rsidP="008E39B8">
      <w:pPr>
        <w:pStyle w:val="ListParagraph"/>
        <w:numPr>
          <w:ilvl w:val="1"/>
          <w:numId w:val="5"/>
        </w:numPr>
        <w:spacing w:after="0" w:afterAutospacing="1" w:line="240" w:lineRule="auto"/>
      </w:pPr>
      <w:r>
        <w:t>Married applicants</w:t>
      </w:r>
    </w:p>
    <w:p w14:paraId="71267FC3" w14:textId="77777777" w:rsidR="00543418" w:rsidRPr="00D94134" w:rsidRDefault="2BC71F25" w:rsidP="008E39B8">
      <w:pPr>
        <w:pStyle w:val="ListParagraph"/>
        <w:numPr>
          <w:ilvl w:val="1"/>
          <w:numId w:val="5"/>
        </w:numPr>
        <w:spacing w:after="0" w:afterAutospacing="1" w:line="240" w:lineRule="auto"/>
      </w:pPr>
      <w:r>
        <w:t>Non-pregnant applicants</w:t>
      </w:r>
    </w:p>
    <w:p w14:paraId="1F527C6B" w14:textId="6F55029F" w:rsidR="00543418" w:rsidRPr="00D94134" w:rsidRDefault="2BC71F25" w:rsidP="008E39B8">
      <w:pPr>
        <w:pStyle w:val="ListParagraph"/>
        <w:numPr>
          <w:ilvl w:val="1"/>
          <w:numId w:val="5"/>
        </w:numPr>
        <w:spacing w:after="0" w:line="240" w:lineRule="auto"/>
      </w:pPr>
      <w:r>
        <w:t>Families without stepchildren or adopted children</w:t>
      </w:r>
    </w:p>
    <w:p w14:paraId="43639B7D" w14:textId="6988B38E" w:rsidR="00543418" w:rsidRPr="00D94134" w:rsidRDefault="2909AD88" w:rsidP="428E3552">
      <w:pPr>
        <w:pStyle w:val="NoSpacing"/>
        <w:numPr>
          <w:ilvl w:val="1"/>
          <w:numId w:val="1"/>
        </w:numPr>
        <w:spacing w:before="0" w:after="0" w:afterAutospacing="1"/>
      </w:pPr>
      <w:r>
        <w:t>Full-time student</w:t>
      </w:r>
      <w:r w:rsidR="1A635C03">
        <w:t>s</w:t>
      </w:r>
      <w:r w:rsidR="75DC0765">
        <w:t xml:space="preserve"> </w:t>
      </w:r>
    </w:p>
    <w:p w14:paraId="34F2ED98" w14:textId="6DA234A9" w:rsidR="00543418" w:rsidRPr="00D94134" w:rsidRDefault="2909AD88" w:rsidP="428E3552">
      <w:pPr>
        <w:pStyle w:val="NoSpacing"/>
        <w:numPr>
          <w:ilvl w:val="1"/>
          <w:numId w:val="1"/>
        </w:numPr>
        <w:spacing w:before="0" w:after="0" w:afterAutospacing="1"/>
      </w:pPr>
      <w:r>
        <w:t>Pregnant applicants</w:t>
      </w:r>
    </w:p>
    <w:p w14:paraId="6691BE67" w14:textId="77777777" w:rsidR="00543418" w:rsidRPr="00D94134" w:rsidRDefault="2909AD88" w:rsidP="428E3552">
      <w:pPr>
        <w:pStyle w:val="NoSpacing"/>
        <w:numPr>
          <w:ilvl w:val="1"/>
          <w:numId w:val="1"/>
        </w:numPr>
        <w:spacing w:before="0" w:after="0"/>
      </w:pPr>
      <w:r>
        <w:t>Non-U.S. citizens</w:t>
      </w:r>
    </w:p>
    <w:p w14:paraId="00425BA0" w14:textId="77777777" w:rsidR="00543418" w:rsidRPr="00D94134" w:rsidRDefault="2909AD88" w:rsidP="008E39B8">
      <w:pPr>
        <w:pStyle w:val="ListParagraph"/>
        <w:numPr>
          <w:ilvl w:val="1"/>
          <w:numId w:val="5"/>
        </w:numPr>
        <w:spacing w:after="0" w:afterAutospacing="1" w:line="240" w:lineRule="auto"/>
      </w:pPr>
      <w:r>
        <w:t>Naturalized U.S. citizens</w:t>
      </w:r>
    </w:p>
    <w:p w14:paraId="0CC1B350" w14:textId="1E5137BC" w:rsidR="00543418" w:rsidRPr="00D94134" w:rsidRDefault="60D5A822" w:rsidP="008E39B8">
      <w:pPr>
        <w:pStyle w:val="ListParagraph"/>
        <w:numPr>
          <w:ilvl w:val="1"/>
          <w:numId w:val="5"/>
        </w:numPr>
        <w:spacing w:after="0" w:afterAutospacing="1" w:line="240" w:lineRule="auto"/>
      </w:pPr>
      <w:r>
        <w:t>Applicants m</w:t>
      </w:r>
      <w:r w:rsidR="2909AD88">
        <w:t>issing</w:t>
      </w:r>
      <w:r>
        <w:t xml:space="preserve"> a</w:t>
      </w:r>
      <w:r w:rsidR="2909AD88">
        <w:t xml:space="preserve"> </w:t>
      </w:r>
      <w:r>
        <w:t>Social Security Number (</w:t>
      </w:r>
      <w:r w:rsidR="2909AD88">
        <w:t>SSN</w:t>
      </w:r>
      <w:r>
        <w:t>)</w:t>
      </w:r>
    </w:p>
    <w:p w14:paraId="7E08C1A7" w14:textId="77777777" w:rsidR="00543418" w:rsidRPr="00D94134" w:rsidRDefault="2909AD88" w:rsidP="008E39B8">
      <w:pPr>
        <w:pStyle w:val="ListParagraph"/>
        <w:numPr>
          <w:ilvl w:val="1"/>
          <w:numId w:val="5"/>
        </w:numPr>
        <w:spacing w:after="0" w:afterAutospacing="1" w:line="240" w:lineRule="auto"/>
      </w:pPr>
      <w:r>
        <w:lastRenderedPageBreak/>
        <w:t>Applicants with different names than the one on their SSN cards</w:t>
      </w:r>
    </w:p>
    <w:p w14:paraId="30FA17B9" w14:textId="77777777" w:rsidR="00543418" w:rsidRPr="00D94134" w:rsidRDefault="2909AD88" w:rsidP="008E39B8">
      <w:pPr>
        <w:pStyle w:val="ListParagraph"/>
        <w:numPr>
          <w:ilvl w:val="1"/>
          <w:numId w:val="5"/>
        </w:numPr>
        <w:spacing w:after="0" w:afterAutospacing="1" w:line="240" w:lineRule="auto"/>
      </w:pPr>
      <w:r>
        <w:t>Incarcerated applicants</w:t>
      </w:r>
    </w:p>
    <w:p w14:paraId="056CECB4" w14:textId="77777777" w:rsidR="00543418" w:rsidRPr="00D94134" w:rsidRDefault="2909AD88" w:rsidP="008E39B8">
      <w:pPr>
        <w:pStyle w:val="ListParagraph"/>
        <w:numPr>
          <w:ilvl w:val="1"/>
          <w:numId w:val="5"/>
        </w:numPr>
        <w:spacing w:after="0" w:afterAutospacing="1" w:line="240" w:lineRule="auto"/>
      </w:pPr>
      <w:r>
        <w:t>Applicants previously in foster care</w:t>
      </w:r>
    </w:p>
    <w:p w14:paraId="3EC1565C" w14:textId="77777777" w:rsidR="00543418" w:rsidRPr="00D94134" w:rsidRDefault="2909AD88" w:rsidP="008E39B8">
      <w:pPr>
        <w:pStyle w:val="ListParagraph"/>
        <w:numPr>
          <w:ilvl w:val="1"/>
          <w:numId w:val="5"/>
        </w:numPr>
        <w:spacing w:after="0" w:afterAutospacing="1" w:line="240" w:lineRule="auto"/>
      </w:pPr>
      <w:r>
        <w:t>Stepchildren</w:t>
      </w:r>
    </w:p>
    <w:p w14:paraId="49A684A3" w14:textId="6A283B3B" w:rsidR="00543418" w:rsidRPr="00D94134" w:rsidRDefault="00543418" w:rsidP="008E39B8">
      <w:pPr>
        <w:pStyle w:val="ListParagraph"/>
        <w:numPr>
          <w:ilvl w:val="0"/>
          <w:numId w:val="5"/>
        </w:numPr>
        <w:spacing w:line="240" w:lineRule="auto"/>
      </w:pPr>
      <w:r w:rsidRPr="00D94134">
        <w:rPr>
          <w:b/>
        </w:rPr>
        <w:t>Phase 3</w:t>
      </w:r>
      <w:r w:rsidRPr="00D94134">
        <w:t>: Supports every enrollment scenario, including the most complex cases, without redirecting to a different EDE Partner via an approved handoff or to the Georgia Access Portal. Phase 3</w:t>
      </w:r>
      <w:r w:rsidR="006A4289">
        <w:t>-supported enrollment scenarios include</w:t>
      </w:r>
      <w:r w:rsidRPr="00D94134">
        <w:t>:</w:t>
      </w:r>
    </w:p>
    <w:p w14:paraId="61A01C0C" w14:textId="0251A888" w:rsidR="00EB57FE" w:rsidRDefault="11E314EF" w:rsidP="008E39B8">
      <w:pPr>
        <w:pStyle w:val="ListParagraph"/>
        <w:numPr>
          <w:ilvl w:val="1"/>
          <w:numId w:val="5"/>
        </w:numPr>
        <w:spacing w:line="240" w:lineRule="auto"/>
      </w:pPr>
      <w:r>
        <w:t xml:space="preserve"> Phase 2-supported scenarios</w:t>
      </w:r>
    </w:p>
    <w:p w14:paraId="143B3FC7" w14:textId="7F184871" w:rsidR="00543418" w:rsidRPr="00D94134" w:rsidRDefault="00543418" w:rsidP="008E39B8">
      <w:pPr>
        <w:pStyle w:val="ListParagraph"/>
        <w:numPr>
          <w:ilvl w:val="1"/>
          <w:numId w:val="5"/>
        </w:numPr>
        <w:spacing w:line="240" w:lineRule="auto"/>
      </w:pPr>
      <w:r w:rsidRPr="00D94134">
        <w:t>American Indian applicants</w:t>
      </w:r>
    </w:p>
    <w:p w14:paraId="400A719C" w14:textId="77777777" w:rsidR="00543418" w:rsidRPr="00D94134" w:rsidRDefault="00543418" w:rsidP="008E39B8">
      <w:pPr>
        <w:pStyle w:val="ListParagraph"/>
        <w:numPr>
          <w:ilvl w:val="1"/>
          <w:numId w:val="5"/>
        </w:numPr>
        <w:spacing w:line="240" w:lineRule="auto"/>
      </w:pPr>
      <w:r w:rsidRPr="00D94134">
        <w:t>Alaska Native applicants</w:t>
      </w:r>
    </w:p>
    <w:p w14:paraId="6BB54FFA" w14:textId="77777777" w:rsidR="00543418" w:rsidRPr="00D94134" w:rsidRDefault="00543418" w:rsidP="008E39B8">
      <w:pPr>
        <w:pStyle w:val="ListParagraph"/>
        <w:numPr>
          <w:ilvl w:val="1"/>
          <w:numId w:val="5"/>
        </w:numPr>
        <w:spacing w:line="240" w:lineRule="auto"/>
      </w:pPr>
      <w:r w:rsidRPr="00D94134">
        <w:t>Married applicants not filing taxes jointly</w:t>
      </w:r>
    </w:p>
    <w:p w14:paraId="25CA0FA6" w14:textId="3E6038E5" w:rsidR="00543418" w:rsidRPr="00D94134" w:rsidRDefault="00543418" w:rsidP="008E39B8">
      <w:pPr>
        <w:pStyle w:val="ListParagraph"/>
        <w:numPr>
          <w:ilvl w:val="1"/>
          <w:numId w:val="5"/>
        </w:numPr>
        <w:spacing w:line="240" w:lineRule="auto"/>
      </w:pPr>
      <w:r w:rsidRPr="00D94134">
        <w:t xml:space="preserve">Dependent applicants </w:t>
      </w:r>
      <w:r w:rsidR="00236D68">
        <w:t>who</w:t>
      </w:r>
      <w:r w:rsidRPr="00D94134">
        <w:t xml:space="preserve"> are not sons, daughters, or spouses</w:t>
      </w:r>
    </w:p>
    <w:p w14:paraId="53C72773" w14:textId="77777777" w:rsidR="00543418" w:rsidRPr="00D94134" w:rsidRDefault="00543418" w:rsidP="008E39B8">
      <w:pPr>
        <w:pStyle w:val="ListParagraph"/>
        <w:numPr>
          <w:ilvl w:val="1"/>
          <w:numId w:val="5"/>
        </w:numPr>
        <w:spacing w:line="240" w:lineRule="auto"/>
      </w:pPr>
      <w:r w:rsidRPr="00D94134">
        <w:t>Dependents who are over 25 or who are married</w:t>
      </w:r>
    </w:p>
    <w:p w14:paraId="77749C2A" w14:textId="76B4D127" w:rsidR="009C6A7A" w:rsidRPr="00D94134" w:rsidRDefault="446CB039" w:rsidP="00A53E91">
      <w:pPr>
        <w:spacing w:line="240" w:lineRule="auto"/>
      </w:pPr>
      <w:r>
        <w:t>Georgia Access will require all EDE Partners to seek certification as Phase 3 EDEs for PY 2026 and beyond.</w:t>
      </w:r>
    </w:p>
    <w:p w14:paraId="3DDE0170" w14:textId="64A74372" w:rsidR="00085C32" w:rsidRDefault="00085C32" w:rsidP="00A53E91">
      <w:pPr>
        <w:pStyle w:val="Heading3"/>
        <w:spacing w:line="240" w:lineRule="auto"/>
      </w:pPr>
      <w:bookmarkStart w:id="45" w:name="_Toc209003036"/>
      <w:r>
        <w:t>EDE Partner Requirements</w:t>
      </w:r>
      <w:bookmarkEnd w:id="45"/>
    </w:p>
    <w:p w14:paraId="717D3A91" w14:textId="1777DCB4" w:rsidR="00C87638" w:rsidRPr="0073212E" w:rsidRDefault="00C87638" w:rsidP="00A53E91">
      <w:pPr>
        <w:spacing w:line="240" w:lineRule="auto"/>
      </w:pPr>
      <w:r w:rsidRPr="00C94C75">
        <w:t xml:space="preserve">Private sector partners </w:t>
      </w:r>
      <w:r>
        <w:t>seeking</w:t>
      </w:r>
      <w:r w:rsidRPr="00C94C75">
        <w:t xml:space="preserve"> </w:t>
      </w:r>
      <w:r>
        <w:t>to participate in</w:t>
      </w:r>
      <w:r w:rsidRPr="00C94C75">
        <w:t xml:space="preserve"> Georgia Access must complete and submit a</w:t>
      </w:r>
      <w:r>
        <w:t xml:space="preserve"> Georgia Access</w:t>
      </w:r>
      <w:r w:rsidRPr="00C94C75">
        <w:t xml:space="preserve"> EDE Partner </w:t>
      </w:r>
      <w:r>
        <w:t>A</w:t>
      </w:r>
      <w:r w:rsidRPr="00C94C75">
        <w:t>pplication to</w:t>
      </w:r>
      <w:r>
        <w:t xml:space="preserve"> </w:t>
      </w:r>
      <w:r w:rsidRPr="00C94C75">
        <w:t xml:space="preserve">Georgia Access. Refer to </w:t>
      </w:r>
      <w:hyperlink w:anchor="_EDE_Partner_Application" w:history="1">
        <w:r w:rsidR="006E591C">
          <w:rPr>
            <w:rStyle w:val="Hyperlink"/>
            <w:i/>
            <w:iCs/>
          </w:rPr>
          <w:t>Section 2.2.1 EDE Partner Application Release and Acceptance</w:t>
        </w:r>
      </w:hyperlink>
      <w:r w:rsidRPr="00C94C75">
        <w:t xml:space="preserve"> for more details on the EDE Partner application process.</w:t>
      </w:r>
    </w:p>
    <w:p w14:paraId="6C3CB01A" w14:textId="77777777" w:rsidR="00C87638" w:rsidRDefault="00C87638" w:rsidP="00A53E91">
      <w:pPr>
        <w:spacing w:line="240" w:lineRule="auto"/>
      </w:pPr>
      <w:r>
        <w:t>There are four types of Georgia Access requirements EDE Partners must meet to participate in Georgia Access:</w:t>
      </w:r>
    </w:p>
    <w:p w14:paraId="6F3CD725" w14:textId="72D11C68" w:rsidR="00C87638" w:rsidRDefault="00C87638" w:rsidP="008E39B8">
      <w:pPr>
        <w:pStyle w:val="ListParagraph"/>
        <w:numPr>
          <w:ilvl w:val="0"/>
          <w:numId w:val="6"/>
        </w:numPr>
        <w:spacing w:line="240" w:lineRule="auto"/>
      </w:pPr>
      <w:r>
        <w:t xml:space="preserve">Program </w:t>
      </w:r>
    </w:p>
    <w:p w14:paraId="0C169078" w14:textId="72659858" w:rsidR="00C87638" w:rsidRDefault="00C87638" w:rsidP="008E39B8">
      <w:pPr>
        <w:pStyle w:val="ListParagraph"/>
        <w:numPr>
          <w:ilvl w:val="0"/>
          <w:numId w:val="6"/>
        </w:numPr>
        <w:spacing w:line="240" w:lineRule="auto"/>
      </w:pPr>
      <w:r>
        <w:t xml:space="preserve">Technical integration and testing </w:t>
      </w:r>
    </w:p>
    <w:p w14:paraId="58B0FFF8" w14:textId="248725F6" w:rsidR="00C87638" w:rsidRDefault="00C87638" w:rsidP="008E39B8">
      <w:pPr>
        <w:pStyle w:val="ListParagraph"/>
        <w:numPr>
          <w:ilvl w:val="0"/>
          <w:numId w:val="6"/>
        </w:numPr>
        <w:spacing w:line="240" w:lineRule="auto"/>
      </w:pPr>
      <w:r>
        <w:t xml:space="preserve">Consumer application </w:t>
      </w:r>
    </w:p>
    <w:p w14:paraId="1958A5A9" w14:textId="1F1AC1BD" w:rsidR="00C87638" w:rsidRDefault="00C87638" w:rsidP="008E39B8">
      <w:pPr>
        <w:pStyle w:val="ListParagraph"/>
        <w:numPr>
          <w:ilvl w:val="0"/>
          <w:numId w:val="6"/>
        </w:numPr>
        <w:spacing w:line="240" w:lineRule="auto"/>
      </w:pPr>
      <w:r>
        <w:t xml:space="preserve">Privacy and security </w:t>
      </w:r>
    </w:p>
    <w:p w14:paraId="54E8D092" w14:textId="13F61E14" w:rsidR="00401E15" w:rsidRDefault="00D91855" w:rsidP="00A53E91">
      <w:pPr>
        <w:pStyle w:val="Heading4"/>
        <w:spacing w:line="240" w:lineRule="auto"/>
      </w:pPr>
      <w:r>
        <w:t>Program Requirements</w:t>
      </w:r>
    </w:p>
    <w:p w14:paraId="69CB27B3" w14:textId="62F4FE71" w:rsidR="00AC7380" w:rsidRDefault="00AC7380" w:rsidP="00A53E91">
      <w:pPr>
        <w:spacing w:line="240" w:lineRule="auto"/>
      </w:pPr>
      <w:r>
        <w:t>The following table lists all program requirements and their applicability to primary EDE entities, hybrid non-</w:t>
      </w:r>
      <w:r w:rsidR="00710174">
        <w:t>i</w:t>
      </w:r>
      <w:r w:rsidR="003B695D">
        <w:t>ssuers</w:t>
      </w:r>
      <w:r>
        <w:t xml:space="preserve">, hybrid </w:t>
      </w:r>
      <w:r w:rsidR="003B695D">
        <w:t>issuers</w:t>
      </w:r>
      <w:r>
        <w:t xml:space="preserve">, and white-label </w:t>
      </w:r>
      <w:r w:rsidR="003B695D">
        <w:t>issuers</w:t>
      </w:r>
      <w:r>
        <w:t>.</w:t>
      </w:r>
    </w:p>
    <w:tbl>
      <w:tblPr>
        <w:tblStyle w:val="TableGrid"/>
        <w:tblW w:w="936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4315"/>
        <w:gridCol w:w="12"/>
        <w:gridCol w:w="1247"/>
        <w:gridCol w:w="11"/>
        <w:gridCol w:w="1248"/>
        <w:gridCol w:w="10"/>
        <w:gridCol w:w="1249"/>
        <w:gridCol w:w="9"/>
        <w:gridCol w:w="1250"/>
        <w:gridCol w:w="9"/>
      </w:tblGrid>
      <w:tr w:rsidR="00AC7380" w14:paraId="59BBACA7" w14:textId="77777777" w:rsidTr="2114FA65">
        <w:trPr>
          <w:cantSplit/>
          <w:tblHeader/>
        </w:trPr>
        <w:tc>
          <w:tcPr>
            <w:tcW w:w="4327" w:type="dxa"/>
            <w:gridSpan w:val="2"/>
            <w:vMerge w:val="restart"/>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096080"/>
            <w:vAlign w:val="center"/>
          </w:tcPr>
          <w:p w14:paraId="31BEE282" w14:textId="77777777" w:rsidR="00AC7380" w:rsidRDefault="00AC7380" w:rsidP="00A53E91">
            <w:pPr>
              <w:spacing w:beforeLines="20" w:before="48" w:after="0" w:line="240" w:lineRule="auto"/>
              <w:rPr>
                <w:b/>
                <w:bCs/>
                <w:color w:val="FFFFFF" w:themeColor="background1"/>
              </w:rPr>
            </w:pPr>
            <w:r>
              <w:rPr>
                <w:b/>
                <w:bCs/>
                <w:color w:val="FFFFFF" w:themeColor="background1"/>
              </w:rPr>
              <w:t>Requirement</w:t>
            </w:r>
          </w:p>
        </w:tc>
        <w:tc>
          <w:tcPr>
            <w:tcW w:w="5033" w:type="dxa"/>
            <w:gridSpan w:val="8"/>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96080"/>
          </w:tcPr>
          <w:p w14:paraId="03045EF6" w14:textId="77777777" w:rsidR="00AC7380" w:rsidRDefault="00AC7380" w:rsidP="00A53E91">
            <w:pPr>
              <w:spacing w:beforeLines="20" w:before="48" w:after="0" w:line="240" w:lineRule="auto"/>
              <w:rPr>
                <w:b/>
                <w:bCs/>
                <w:color w:val="FFFFFF" w:themeColor="background1"/>
              </w:rPr>
            </w:pPr>
            <w:r>
              <w:rPr>
                <w:b/>
                <w:bCs/>
                <w:color w:val="FFFFFF" w:themeColor="background1"/>
              </w:rPr>
              <w:t>Applicable to:</w:t>
            </w:r>
          </w:p>
        </w:tc>
      </w:tr>
      <w:tr w:rsidR="00AC7380" w14:paraId="1011FE82" w14:textId="77777777" w:rsidTr="2114FA65">
        <w:trPr>
          <w:cantSplit/>
          <w:tblHeader/>
        </w:trPr>
        <w:tc>
          <w:tcPr>
            <w:tcW w:w="4327" w:type="dxa"/>
            <w:gridSpan w:val="2"/>
            <w:vMerge/>
            <w:hideMark/>
          </w:tcPr>
          <w:p w14:paraId="0FDB5FBC" w14:textId="77777777" w:rsidR="00AC7380" w:rsidRDefault="00AC7380" w:rsidP="00A53E91">
            <w:pPr>
              <w:spacing w:beforeLines="20" w:before="48" w:after="0" w:line="240" w:lineRule="auto"/>
              <w:rPr>
                <w:b/>
                <w:bCs/>
                <w:color w:val="FFFFFF" w:themeColor="background1"/>
              </w:rPr>
            </w:pPr>
          </w:p>
        </w:tc>
        <w:tc>
          <w:tcPr>
            <w:tcW w:w="1258"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96080"/>
            <w:vAlign w:val="center"/>
            <w:hideMark/>
          </w:tcPr>
          <w:p w14:paraId="6DF46A57" w14:textId="6FD67232" w:rsidR="00AC7380" w:rsidRDefault="00AC7380" w:rsidP="00A53E91">
            <w:pPr>
              <w:spacing w:beforeLines="20" w:before="48" w:after="0" w:line="240" w:lineRule="auto"/>
              <w:rPr>
                <w:b/>
                <w:bCs/>
                <w:color w:val="FFFFFF" w:themeColor="background1"/>
              </w:rPr>
            </w:pPr>
            <w:r>
              <w:rPr>
                <w:b/>
                <w:bCs/>
                <w:color w:val="FFFFFF" w:themeColor="background1"/>
              </w:rPr>
              <w:t>Primary EDE</w:t>
            </w:r>
            <w:r w:rsidR="00EE2DC7">
              <w:rPr>
                <w:b/>
                <w:bCs/>
                <w:color w:val="FFFFFF" w:themeColor="background1"/>
              </w:rPr>
              <w:t xml:space="preserve"> </w:t>
            </w:r>
            <w:r w:rsidR="00CA0E04">
              <w:rPr>
                <w:b/>
                <w:bCs/>
                <w:color w:val="FFFFFF" w:themeColor="background1"/>
              </w:rPr>
              <w:t>E</w:t>
            </w:r>
            <w:r w:rsidR="00EE2DC7">
              <w:rPr>
                <w:b/>
                <w:bCs/>
                <w:color w:val="FFFFFF" w:themeColor="background1"/>
              </w:rPr>
              <w:t>ntities</w:t>
            </w:r>
          </w:p>
        </w:tc>
        <w:tc>
          <w:tcPr>
            <w:tcW w:w="1258"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96080"/>
            <w:vAlign w:val="center"/>
            <w:hideMark/>
          </w:tcPr>
          <w:p w14:paraId="54A06A8A" w14:textId="5953B080" w:rsidR="00AC7380" w:rsidRDefault="00AC7380" w:rsidP="00A53E91">
            <w:pPr>
              <w:spacing w:beforeLines="20" w:before="48" w:after="0" w:line="240" w:lineRule="auto"/>
              <w:rPr>
                <w:b/>
                <w:bCs/>
                <w:color w:val="FFFFFF" w:themeColor="background1"/>
              </w:rPr>
            </w:pPr>
            <w:r>
              <w:rPr>
                <w:b/>
                <w:bCs/>
                <w:color w:val="FFFFFF" w:themeColor="background1"/>
              </w:rPr>
              <w:t xml:space="preserve">Hybrid </w:t>
            </w:r>
            <w:proofErr w:type="gramStart"/>
            <w:r>
              <w:rPr>
                <w:b/>
                <w:bCs/>
                <w:color w:val="FFFFFF" w:themeColor="background1"/>
              </w:rPr>
              <w:t>Non-</w:t>
            </w:r>
            <w:r w:rsidR="00710174">
              <w:rPr>
                <w:b/>
                <w:bCs/>
                <w:color w:val="FFFFFF" w:themeColor="background1"/>
              </w:rPr>
              <w:t>I</w:t>
            </w:r>
            <w:r w:rsidR="003B695D">
              <w:rPr>
                <w:b/>
                <w:bCs/>
                <w:color w:val="FFFFFF" w:themeColor="background1"/>
              </w:rPr>
              <w:t>ssuers</w:t>
            </w:r>
            <w:proofErr w:type="gramEnd"/>
          </w:p>
        </w:tc>
        <w:tc>
          <w:tcPr>
            <w:tcW w:w="1258"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96080"/>
            <w:vAlign w:val="center"/>
          </w:tcPr>
          <w:p w14:paraId="29240F5E" w14:textId="7B7BE324" w:rsidR="00AC7380" w:rsidRDefault="00AC7380" w:rsidP="00A53E91">
            <w:pPr>
              <w:spacing w:beforeLines="20" w:before="48" w:after="0" w:line="240" w:lineRule="auto"/>
              <w:rPr>
                <w:b/>
                <w:bCs/>
                <w:color w:val="FFFFFF" w:themeColor="background1"/>
              </w:rPr>
            </w:pPr>
            <w:r w:rsidRPr="04F74BE1">
              <w:rPr>
                <w:b/>
                <w:bCs/>
                <w:color w:val="FFFFFF" w:themeColor="background1"/>
              </w:rPr>
              <w:t xml:space="preserve">Hybrid </w:t>
            </w:r>
            <w:r w:rsidR="003B695D" w:rsidRPr="04F74BE1">
              <w:rPr>
                <w:b/>
                <w:bCs/>
                <w:color w:val="FFFFFF" w:themeColor="background1"/>
              </w:rPr>
              <w:t>Issuers</w:t>
            </w:r>
            <w:r w:rsidR="00710174" w:rsidRPr="04F74BE1">
              <w:rPr>
                <w:b/>
                <w:bCs/>
                <w:color w:val="FFFFFF" w:themeColor="background1"/>
              </w:rPr>
              <w:t xml:space="preserve"> </w:t>
            </w:r>
          </w:p>
        </w:tc>
        <w:tc>
          <w:tcPr>
            <w:tcW w:w="125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96080"/>
            <w:vAlign w:val="center"/>
          </w:tcPr>
          <w:p w14:paraId="676E5DD1" w14:textId="00FA89AC" w:rsidR="00AC7380" w:rsidRDefault="00AC7380" w:rsidP="00A53E91">
            <w:pPr>
              <w:spacing w:beforeLines="20" w:before="48" w:after="0" w:line="240" w:lineRule="auto"/>
              <w:rPr>
                <w:b/>
                <w:bCs/>
                <w:color w:val="FFFFFF" w:themeColor="background1"/>
              </w:rPr>
            </w:pPr>
            <w:r>
              <w:rPr>
                <w:b/>
                <w:bCs/>
                <w:color w:val="FFFFFF" w:themeColor="background1"/>
              </w:rPr>
              <w:t xml:space="preserve">White-Label </w:t>
            </w:r>
            <w:r w:rsidR="003B695D">
              <w:rPr>
                <w:b/>
                <w:bCs/>
                <w:color w:val="FFFFFF" w:themeColor="background1"/>
              </w:rPr>
              <w:t>Issuers</w:t>
            </w:r>
            <w:r w:rsidR="00710174">
              <w:rPr>
                <w:b/>
                <w:bCs/>
                <w:color w:val="FFFFFF" w:themeColor="background1"/>
              </w:rPr>
              <w:t xml:space="preserve"> </w:t>
            </w:r>
          </w:p>
        </w:tc>
      </w:tr>
      <w:tr w:rsidR="00AC7380" w14:paraId="2ED0C378" w14:textId="77777777" w:rsidTr="2114FA65">
        <w:trPr>
          <w:gridAfter w:val="1"/>
          <w:wAfter w:w="9" w:type="dxa"/>
          <w:cantSplit/>
        </w:trPr>
        <w:tc>
          <w:tcPr>
            <w:tcW w:w="431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D5D8411" w14:textId="3F50D7A3" w:rsidR="00AC7380" w:rsidRPr="000C0549" w:rsidRDefault="00AC7380" w:rsidP="00A53E91">
            <w:pPr>
              <w:spacing w:beforeLines="20" w:before="48" w:after="0" w:line="240" w:lineRule="auto"/>
            </w:pPr>
            <w:r w:rsidRPr="000C0549">
              <w:rPr>
                <w:rFonts w:ascii="Calibri" w:hAnsi="Calibri" w:cs="Calibri"/>
              </w:rPr>
              <w:t>Submit the latest CMS Business Requirements Audit to the SBE</w:t>
            </w:r>
            <w:r w:rsidR="00D93F85">
              <w:rPr>
                <w:rFonts w:ascii="Calibri" w:hAnsi="Calibri" w:cs="Calibri"/>
              </w:rPr>
              <w:t xml:space="preserve"> </w:t>
            </w:r>
            <w:r w:rsidR="003F4C9A">
              <w:rPr>
                <w:rFonts w:ascii="Calibri" w:hAnsi="Calibri" w:cs="Calibri"/>
              </w:rPr>
              <w:t>during ORR annually to verify ongoing</w:t>
            </w:r>
            <w:r w:rsidRPr="000C0549">
              <w:rPr>
                <w:rFonts w:ascii="Calibri" w:hAnsi="Calibri" w:cs="Calibri"/>
              </w:rPr>
              <w:t xml:space="preserve"> CMS </w:t>
            </w:r>
            <w:r w:rsidR="003F4C9A">
              <w:rPr>
                <w:rFonts w:ascii="Calibri" w:hAnsi="Calibri" w:cs="Calibri"/>
              </w:rPr>
              <w:t>certification.</w:t>
            </w:r>
            <w:r w:rsidRPr="000C0549">
              <w:rPr>
                <w:rFonts w:ascii="Calibri" w:hAnsi="Calibri" w:cs="Calibri"/>
              </w:rPr>
              <w:t xml:space="preserve"> Refer to </w:t>
            </w:r>
            <w:hyperlink w:anchor="_Annual_Compliance_Audit" w:history="1">
              <w:r w:rsidR="006E591C">
                <w:rPr>
                  <w:rStyle w:val="Hyperlink"/>
                  <w:rFonts w:ascii="Calibri" w:hAnsi="Calibri" w:cs="Calibri"/>
                  <w:i/>
                  <w:iCs/>
                </w:rPr>
                <w:t>Section 2.5.1.1 Annual Compliance Audit Documentation</w:t>
              </w:r>
            </w:hyperlink>
            <w:r w:rsidRPr="000C0549">
              <w:rPr>
                <w:rFonts w:ascii="Calibri" w:hAnsi="Calibri" w:cs="Calibri"/>
              </w:rPr>
              <w:t xml:space="preserve"> for more details.</w:t>
            </w:r>
          </w:p>
        </w:tc>
        <w:tc>
          <w:tcPr>
            <w:tcW w:w="125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7A0348D" w14:textId="77777777" w:rsidR="00AC7380" w:rsidRDefault="00AC7380" w:rsidP="00A53E91">
            <w:pPr>
              <w:spacing w:beforeLines="20" w:before="48" w:after="0" w:line="240" w:lineRule="auto"/>
              <w:rPr>
                <w:iCs/>
              </w:rPr>
            </w:pPr>
            <w:r>
              <w:rPr>
                <w:iCs/>
              </w:rPr>
              <w:t>Yes</w:t>
            </w:r>
          </w:p>
        </w:tc>
        <w:tc>
          <w:tcPr>
            <w:tcW w:w="125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80CDDCA" w14:textId="77777777" w:rsidR="00AC7380" w:rsidRDefault="00AC7380" w:rsidP="00A53E91">
            <w:pPr>
              <w:spacing w:beforeLines="20" w:before="48" w:after="0" w:line="240" w:lineRule="auto"/>
              <w:rPr>
                <w:iCs/>
              </w:rPr>
            </w:pPr>
            <w:r>
              <w:rPr>
                <w:iCs/>
              </w:rPr>
              <w:t>Yes</w:t>
            </w:r>
          </w:p>
        </w:tc>
        <w:tc>
          <w:tcPr>
            <w:tcW w:w="125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0A55CAF" w14:textId="77777777" w:rsidR="00AC7380" w:rsidRDefault="00AC7380" w:rsidP="00A53E91">
            <w:pPr>
              <w:spacing w:beforeLines="20" w:before="48" w:after="0" w:line="240" w:lineRule="auto"/>
              <w:rPr>
                <w:iCs/>
              </w:rPr>
            </w:pPr>
            <w:r>
              <w:rPr>
                <w:iCs/>
              </w:rPr>
              <w:t>Yes</w:t>
            </w:r>
          </w:p>
        </w:tc>
        <w:tc>
          <w:tcPr>
            <w:tcW w:w="125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2E1784B" w14:textId="77777777" w:rsidR="00AC7380" w:rsidRDefault="00AC7380" w:rsidP="00A53E91">
            <w:pPr>
              <w:spacing w:beforeLines="20" w:before="48" w:after="0" w:line="240" w:lineRule="auto"/>
              <w:rPr>
                <w:iCs/>
              </w:rPr>
            </w:pPr>
            <w:r>
              <w:rPr>
                <w:iCs/>
              </w:rPr>
              <w:t>No</w:t>
            </w:r>
          </w:p>
        </w:tc>
      </w:tr>
      <w:tr w:rsidR="00AC7380" w14:paraId="10F02B69" w14:textId="77777777" w:rsidTr="2114FA65">
        <w:trPr>
          <w:gridAfter w:val="1"/>
          <w:wAfter w:w="9" w:type="dxa"/>
          <w:cantSplit/>
          <w:trHeight w:val="539"/>
        </w:trPr>
        <w:tc>
          <w:tcPr>
            <w:tcW w:w="431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9E78D7D" w14:textId="73FC6F3A" w:rsidR="00AC7380" w:rsidRPr="000C0549" w:rsidRDefault="005A78B4" w:rsidP="00A53E91">
            <w:pPr>
              <w:spacing w:beforeLines="20" w:before="48" w:after="0" w:line="240" w:lineRule="auto"/>
            </w:pPr>
            <w:r>
              <w:rPr>
                <w:rFonts w:ascii="Calibri" w:hAnsi="Calibri" w:cs="Calibri"/>
              </w:rPr>
              <w:t>Submit signed CMS Business Agreement</w:t>
            </w:r>
            <w:r w:rsidR="00F75411">
              <w:rPr>
                <w:rFonts w:ascii="Calibri" w:hAnsi="Calibri" w:cs="Calibri"/>
              </w:rPr>
              <w:t xml:space="preserve"> annually</w:t>
            </w:r>
            <w:r>
              <w:rPr>
                <w:rFonts w:ascii="Calibri" w:hAnsi="Calibri" w:cs="Calibri"/>
              </w:rPr>
              <w:t xml:space="preserve"> </w:t>
            </w:r>
            <w:r w:rsidR="00CC7709">
              <w:rPr>
                <w:rFonts w:ascii="Calibri" w:hAnsi="Calibri" w:cs="Calibri"/>
              </w:rPr>
              <w:t xml:space="preserve">within </w:t>
            </w:r>
            <w:r w:rsidR="003F4C9A">
              <w:rPr>
                <w:rFonts w:ascii="Calibri" w:hAnsi="Calibri" w:cs="Calibri"/>
              </w:rPr>
              <w:t xml:space="preserve">10 days of CMS signature </w:t>
            </w:r>
            <w:r>
              <w:rPr>
                <w:rFonts w:ascii="Calibri" w:hAnsi="Calibri" w:cs="Calibri"/>
              </w:rPr>
              <w:t xml:space="preserve">to </w:t>
            </w:r>
            <w:r w:rsidR="00F75411">
              <w:rPr>
                <w:rFonts w:ascii="Calibri" w:hAnsi="Calibri" w:cs="Calibri"/>
              </w:rPr>
              <w:t>v</w:t>
            </w:r>
            <w:r w:rsidR="00EA0F51">
              <w:rPr>
                <w:rFonts w:ascii="Calibri" w:hAnsi="Calibri" w:cs="Calibri"/>
              </w:rPr>
              <w:t>erify ongoing CMS certification</w:t>
            </w:r>
            <w:r w:rsidR="00F75411">
              <w:rPr>
                <w:rFonts w:ascii="Calibri" w:hAnsi="Calibri" w:cs="Calibri"/>
              </w:rPr>
              <w:t>.</w:t>
            </w:r>
            <w:r w:rsidR="00EA0F51">
              <w:rPr>
                <w:rFonts w:ascii="Calibri" w:hAnsi="Calibri" w:cs="Calibri"/>
              </w:rPr>
              <w:t xml:space="preserve"> </w:t>
            </w:r>
          </w:p>
        </w:tc>
        <w:tc>
          <w:tcPr>
            <w:tcW w:w="125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32BC568" w14:textId="77777777" w:rsidR="00AC7380" w:rsidRDefault="00AC7380" w:rsidP="00A53E91">
            <w:pPr>
              <w:spacing w:beforeLines="20" w:before="48" w:after="0" w:line="240" w:lineRule="auto"/>
              <w:rPr>
                <w:iCs/>
              </w:rPr>
            </w:pPr>
            <w:r>
              <w:rPr>
                <w:iCs/>
              </w:rPr>
              <w:t>Yes</w:t>
            </w:r>
          </w:p>
        </w:tc>
        <w:tc>
          <w:tcPr>
            <w:tcW w:w="125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1410E2F" w14:textId="77777777" w:rsidR="00AC7380" w:rsidRDefault="00AC7380" w:rsidP="00A53E91">
            <w:pPr>
              <w:spacing w:beforeLines="20" w:before="48" w:after="0" w:line="240" w:lineRule="auto"/>
              <w:rPr>
                <w:iCs/>
              </w:rPr>
            </w:pPr>
            <w:r>
              <w:rPr>
                <w:iCs/>
              </w:rPr>
              <w:t>Yes</w:t>
            </w:r>
          </w:p>
        </w:tc>
        <w:tc>
          <w:tcPr>
            <w:tcW w:w="125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7C9EE06" w14:textId="77777777" w:rsidR="00AC7380" w:rsidRDefault="00AC7380" w:rsidP="00A53E91">
            <w:pPr>
              <w:spacing w:beforeLines="20" w:before="48" w:after="0" w:line="240" w:lineRule="auto"/>
              <w:rPr>
                <w:iCs/>
              </w:rPr>
            </w:pPr>
            <w:r>
              <w:rPr>
                <w:iCs/>
              </w:rPr>
              <w:t>Yes</w:t>
            </w:r>
          </w:p>
        </w:tc>
        <w:tc>
          <w:tcPr>
            <w:tcW w:w="125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8BD4AEC" w14:textId="77777777" w:rsidR="00AC7380" w:rsidRDefault="00AC7380" w:rsidP="00A53E91">
            <w:pPr>
              <w:spacing w:beforeLines="20" w:before="48" w:after="0" w:line="240" w:lineRule="auto"/>
              <w:rPr>
                <w:iCs/>
              </w:rPr>
            </w:pPr>
            <w:r>
              <w:rPr>
                <w:iCs/>
              </w:rPr>
              <w:t>Yes</w:t>
            </w:r>
          </w:p>
        </w:tc>
      </w:tr>
      <w:tr w:rsidR="00AC7380" w14:paraId="0B1CDF59" w14:textId="77777777" w:rsidTr="2114FA65">
        <w:trPr>
          <w:gridAfter w:val="1"/>
          <w:wAfter w:w="9" w:type="dxa"/>
          <w:cantSplit/>
          <w:trHeight w:val="323"/>
        </w:trPr>
        <w:tc>
          <w:tcPr>
            <w:tcW w:w="431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8BE0F5E" w14:textId="17304A2A" w:rsidR="00AC7380" w:rsidRPr="000C0549" w:rsidRDefault="00AC7380" w:rsidP="00A53E91">
            <w:pPr>
              <w:spacing w:beforeLines="20" w:before="48" w:after="0" w:line="240" w:lineRule="auto"/>
            </w:pPr>
            <w:r w:rsidRPr="000C0549">
              <w:rPr>
                <w:rFonts w:ascii="Calibri" w:hAnsi="Calibri" w:cs="Calibri"/>
              </w:rPr>
              <w:lastRenderedPageBreak/>
              <w:t xml:space="preserve">Maintain compliance with CMS business requirements outlined in CMS </w:t>
            </w:r>
            <w:proofErr w:type="spellStart"/>
            <w:r w:rsidRPr="000C0549">
              <w:rPr>
                <w:rFonts w:ascii="Calibri" w:hAnsi="Calibri" w:cs="Calibri"/>
              </w:rPr>
              <w:t>zONE</w:t>
            </w:r>
            <w:proofErr w:type="spellEnd"/>
            <w:r w:rsidR="00970CFA">
              <w:rPr>
                <w:rFonts w:ascii="Calibri" w:hAnsi="Calibri" w:cs="Calibri"/>
              </w:rPr>
              <w:t xml:space="preserve"> (Opportunity to Network and Engage)</w:t>
            </w:r>
            <w:r w:rsidRPr="000C0549">
              <w:rPr>
                <w:rFonts w:ascii="Calibri" w:hAnsi="Calibri" w:cs="Calibri"/>
              </w:rPr>
              <w:t>, except where the SBE has given guidance or approval for modifications.</w:t>
            </w:r>
          </w:p>
        </w:tc>
        <w:tc>
          <w:tcPr>
            <w:tcW w:w="125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E607A24" w14:textId="77777777" w:rsidR="00AC7380" w:rsidRDefault="00AC7380" w:rsidP="00A53E91">
            <w:pPr>
              <w:spacing w:beforeLines="20" w:before="48" w:after="0" w:line="240" w:lineRule="auto"/>
              <w:rPr>
                <w:iCs/>
              </w:rPr>
            </w:pPr>
            <w:r>
              <w:rPr>
                <w:iCs/>
              </w:rPr>
              <w:t>Yes</w:t>
            </w:r>
          </w:p>
        </w:tc>
        <w:tc>
          <w:tcPr>
            <w:tcW w:w="125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63A8D9F" w14:textId="77777777" w:rsidR="00AC7380" w:rsidRDefault="00AC7380" w:rsidP="00A53E91">
            <w:pPr>
              <w:spacing w:beforeLines="20" w:before="48" w:after="0" w:line="240" w:lineRule="auto"/>
              <w:rPr>
                <w:iCs/>
              </w:rPr>
            </w:pPr>
            <w:r>
              <w:rPr>
                <w:iCs/>
              </w:rPr>
              <w:t>Yes</w:t>
            </w:r>
          </w:p>
        </w:tc>
        <w:tc>
          <w:tcPr>
            <w:tcW w:w="125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F57DEBB" w14:textId="77777777" w:rsidR="00AC7380" w:rsidRDefault="00AC7380" w:rsidP="00A53E91">
            <w:pPr>
              <w:spacing w:beforeLines="20" w:before="48" w:after="0" w:line="240" w:lineRule="auto"/>
              <w:rPr>
                <w:iCs/>
              </w:rPr>
            </w:pPr>
            <w:r>
              <w:rPr>
                <w:iCs/>
              </w:rPr>
              <w:t>Yes</w:t>
            </w:r>
          </w:p>
        </w:tc>
        <w:tc>
          <w:tcPr>
            <w:tcW w:w="125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908A132" w14:textId="77777777" w:rsidR="00AC7380" w:rsidRDefault="00AC7380" w:rsidP="00A53E91">
            <w:pPr>
              <w:spacing w:beforeLines="20" w:before="48" w:after="0" w:line="240" w:lineRule="auto"/>
              <w:rPr>
                <w:iCs/>
              </w:rPr>
            </w:pPr>
            <w:r>
              <w:rPr>
                <w:iCs/>
              </w:rPr>
              <w:t>Yes</w:t>
            </w:r>
          </w:p>
        </w:tc>
      </w:tr>
      <w:tr w:rsidR="00AC7380" w14:paraId="00BB4A9B" w14:textId="77777777" w:rsidTr="2114FA65">
        <w:trPr>
          <w:gridAfter w:val="1"/>
          <w:wAfter w:w="9" w:type="dxa"/>
          <w:cantSplit/>
          <w:trHeight w:val="323"/>
        </w:trPr>
        <w:tc>
          <w:tcPr>
            <w:tcW w:w="431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DB10730" w14:textId="5126F586" w:rsidR="00AC7380" w:rsidRPr="00991DC1" w:rsidRDefault="00AC7380" w:rsidP="00A53E91">
            <w:pPr>
              <w:spacing w:beforeLines="20" w:before="48" w:after="0" w:line="240" w:lineRule="auto"/>
            </w:pPr>
            <w:r w:rsidRPr="00991DC1">
              <w:rPr>
                <w:rFonts w:ascii="Calibri" w:hAnsi="Calibri" w:cs="Calibri"/>
              </w:rPr>
              <w:t xml:space="preserve">Maintain certification </w:t>
            </w:r>
            <w:r>
              <w:rPr>
                <w:rFonts w:ascii="Calibri" w:hAnsi="Calibri" w:cs="Calibri"/>
              </w:rPr>
              <w:t>as an FFE EDE entity</w:t>
            </w:r>
            <w:r w:rsidRPr="00991DC1">
              <w:rPr>
                <w:rFonts w:ascii="Calibri" w:hAnsi="Calibri" w:cs="Calibri"/>
              </w:rPr>
              <w:t xml:space="preserve"> for </w:t>
            </w:r>
            <w:r w:rsidR="00416E13">
              <w:rPr>
                <w:rFonts w:ascii="Calibri" w:hAnsi="Calibri" w:cs="Calibri"/>
              </w:rPr>
              <w:t>PY</w:t>
            </w:r>
            <w:r w:rsidRPr="00991DC1">
              <w:rPr>
                <w:rFonts w:ascii="Calibri" w:hAnsi="Calibri" w:cs="Calibri"/>
              </w:rPr>
              <w:t xml:space="preserve"> </w:t>
            </w:r>
            <w:r>
              <w:rPr>
                <w:rFonts w:ascii="Calibri" w:hAnsi="Calibri" w:cs="Calibri"/>
              </w:rPr>
              <w:t>202</w:t>
            </w:r>
            <w:r w:rsidR="005919DB">
              <w:rPr>
                <w:rFonts w:ascii="Calibri" w:hAnsi="Calibri" w:cs="Calibri"/>
              </w:rPr>
              <w:t>5</w:t>
            </w:r>
            <w:r w:rsidR="0085156C">
              <w:rPr>
                <w:rFonts w:ascii="Calibri" w:hAnsi="Calibri" w:cs="Calibri"/>
              </w:rPr>
              <w:t>.</w:t>
            </w:r>
          </w:p>
        </w:tc>
        <w:tc>
          <w:tcPr>
            <w:tcW w:w="125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B6D9C92" w14:textId="77777777" w:rsidR="00AC7380" w:rsidRDefault="00AC7380" w:rsidP="00A53E91">
            <w:pPr>
              <w:spacing w:beforeLines="20" w:before="48" w:after="0" w:line="240" w:lineRule="auto"/>
              <w:rPr>
                <w:iCs/>
              </w:rPr>
            </w:pPr>
            <w:r>
              <w:rPr>
                <w:iCs/>
              </w:rPr>
              <w:t>Yes</w:t>
            </w:r>
          </w:p>
        </w:tc>
        <w:tc>
          <w:tcPr>
            <w:tcW w:w="125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71C68AC" w14:textId="77777777" w:rsidR="00AC7380" w:rsidRDefault="00AC7380" w:rsidP="00A53E91">
            <w:pPr>
              <w:spacing w:beforeLines="20" w:before="48" w:after="0" w:line="240" w:lineRule="auto"/>
              <w:rPr>
                <w:iCs/>
              </w:rPr>
            </w:pPr>
            <w:r>
              <w:rPr>
                <w:iCs/>
              </w:rPr>
              <w:t>Yes</w:t>
            </w:r>
          </w:p>
        </w:tc>
        <w:tc>
          <w:tcPr>
            <w:tcW w:w="125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7E8944F" w14:textId="77777777" w:rsidR="00AC7380" w:rsidRDefault="00AC7380" w:rsidP="00A53E91">
            <w:pPr>
              <w:spacing w:beforeLines="20" w:before="48" w:after="0" w:line="240" w:lineRule="auto"/>
              <w:rPr>
                <w:iCs/>
              </w:rPr>
            </w:pPr>
            <w:r>
              <w:rPr>
                <w:iCs/>
              </w:rPr>
              <w:t>Yes</w:t>
            </w:r>
          </w:p>
        </w:tc>
        <w:tc>
          <w:tcPr>
            <w:tcW w:w="125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08E5E0F" w14:textId="77777777" w:rsidR="00AC7380" w:rsidRDefault="00AC7380" w:rsidP="00A53E91">
            <w:pPr>
              <w:spacing w:beforeLines="20" w:before="48" w:after="0" w:line="240" w:lineRule="auto"/>
              <w:rPr>
                <w:iCs/>
              </w:rPr>
            </w:pPr>
            <w:r>
              <w:rPr>
                <w:iCs/>
              </w:rPr>
              <w:t>Yes</w:t>
            </w:r>
          </w:p>
        </w:tc>
      </w:tr>
      <w:tr w:rsidR="00AC7380" w14:paraId="459CF9F1" w14:textId="77777777" w:rsidTr="2114FA65">
        <w:trPr>
          <w:gridAfter w:val="1"/>
          <w:wAfter w:w="9" w:type="dxa"/>
          <w:cantSplit/>
          <w:trHeight w:val="323"/>
        </w:trPr>
        <w:tc>
          <w:tcPr>
            <w:tcW w:w="431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C29D807" w14:textId="11AE211A" w:rsidR="00AC7380" w:rsidRPr="00991DC1" w:rsidRDefault="00AC7380" w:rsidP="00A53E91">
            <w:pPr>
              <w:spacing w:beforeLines="20" w:before="48" w:after="0" w:line="240" w:lineRule="auto"/>
            </w:pPr>
            <w:r w:rsidRPr="00991DC1">
              <w:rPr>
                <w:rFonts w:ascii="Calibri" w:hAnsi="Calibri" w:cs="Calibri"/>
              </w:rPr>
              <w:t>Incorporate CMS</w:t>
            </w:r>
            <w:r>
              <w:rPr>
                <w:rFonts w:ascii="Calibri" w:hAnsi="Calibri" w:cs="Calibri"/>
              </w:rPr>
              <w:t>-</w:t>
            </w:r>
            <w:r w:rsidRPr="00991DC1">
              <w:rPr>
                <w:rFonts w:ascii="Calibri" w:hAnsi="Calibri" w:cs="Calibri"/>
              </w:rPr>
              <w:t xml:space="preserve">required modifications into the Georgia Access platform and inform the </w:t>
            </w:r>
            <w:r>
              <w:rPr>
                <w:rFonts w:ascii="Calibri" w:hAnsi="Calibri" w:cs="Calibri"/>
              </w:rPr>
              <w:t>SBE</w:t>
            </w:r>
            <w:r w:rsidRPr="00991DC1">
              <w:rPr>
                <w:rFonts w:ascii="Calibri" w:hAnsi="Calibri" w:cs="Calibri"/>
              </w:rPr>
              <w:t xml:space="preserve"> </w:t>
            </w:r>
            <w:r w:rsidR="00680D41">
              <w:rPr>
                <w:rFonts w:ascii="Calibri" w:hAnsi="Calibri" w:cs="Calibri"/>
              </w:rPr>
              <w:t>when testing has been completed and</w:t>
            </w:r>
            <w:r w:rsidR="00A87C5E">
              <w:rPr>
                <w:rFonts w:ascii="Calibri" w:hAnsi="Calibri" w:cs="Calibri"/>
              </w:rPr>
              <w:t xml:space="preserve"> will </w:t>
            </w:r>
            <w:r w:rsidR="00680D41">
              <w:rPr>
                <w:rFonts w:ascii="Calibri" w:hAnsi="Calibri" w:cs="Calibri"/>
              </w:rPr>
              <w:t>go live with production data</w:t>
            </w:r>
            <w:r w:rsidRPr="00991DC1">
              <w:rPr>
                <w:rFonts w:ascii="Calibri" w:hAnsi="Calibri" w:cs="Calibri"/>
              </w:rPr>
              <w:t>.</w:t>
            </w:r>
          </w:p>
        </w:tc>
        <w:tc>
          <w:tcPr>
            <w:tcW w:w="125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C515577" w14:textId="77777777" w:rsidR="00AC7380" w:rsidRDefault="00AC7380" w:rsidP="00A53E91">
            <w:pPr>
              <w:spacing w:beforeLines="20" w:before="48" w:after="0" w:line="240" w:lineRule="auto"/>
              <w:rPr>
                <w:iCs/>
              </w:rPr>
            </w:pPr>
            <w:r>
              <w:rPr>
                <w:iCs/>
              </w:rPr>
              <w:t>Yes</w:t>
            </w:r>
          </w:p>
        </w:tc>
        <w:tc>
          <w:tcPr>
            <w:tcW w:w="125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748A22A" w14:textId="77777777" w:rsidR="00AC7380" w:rsidRDefault="00AC7380" w:rsidP="00A53E91">
            <w:pPr>
              <w:spacing w:beforeLines="20" w:before="48" w:after="0" w:line="240" w:lineRule="auto"/>
              <w:rPr>
                <w:iCs/>
              </w:rPr>
            </w:pPr>
            <w:r>
              <w:rPr>
                <w:iCs/>
              </w:rPr>
              <w:t>Yes</w:t>
            </w:r>
          </w:p>
        </w:tc>
        <w:tc>
          <w:tcPr>
            <w:tcW w:w="125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8820503" w14:textId="77777777" w:rsidR="00AC7380" w:rsidRDefault="00AC7380" w:rsidP="00A53E91">
            <w:pPr>
              <w:spacing w:beforeLines="20" w:before="48" w:after="0" w:line="240" w:lineRule="auto"/>
              <w:rPr>
                <w:iCs/>
              </w:rPr>
            </w:pPr>
            <w:r>
              <w:rPr>
                <w:iCs/>
              </w:rPr>
              <w:t>Yes</w:t>
            </w:r>
          </w:p>
        </w:tc>
        <w:tc>
          <w:tcPr>
            <w:tcW w:w="125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F07498A" w14:textId="77777777" w:rsidR="00AC7380" w:rsidRDefault="00AC7380" w:rsidP="00A53E91">
            <w:pPr>
              <w:spacing w:beforeLines="20" w:before="48" w:after="0" w:line="240" w:lineRule="auto"/>
              <w:rPr>
                <w:iCs/>
              </w:rPr>
            </w:pPr>
            <w:r>
              <w:rPr>
                <w:iCs/>
              </w:rPr>
              <w:t>Yes</w:t>
            </w:r>
          </w:p>
        </w:tc>
      </w:tr>
      <w:tr w:rsidR="00AC7380" w14:paraId="1D7CD534" w14:textId="77777777" w:rsidTr="2114FA65">
        <w:trPr>
          <w:gridAfter w:val="1"/>
          <w:wAfter w:w="9" w:type="dxa"/>
          <w:cantSplit/>
          <w:trHeight w:val="323"/>
        </w:trPr>
        <w:tc>
          <w:tcPr>
            <w:tcW w:w="431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22D5EFB" w14:textId="786D2548" w:rsidR="00AC7380" w:rsidRPr="00991DC1" w:rsidRDefault="00AC7380" w:rsidP="00A53E91">
            <w:pPr>
              <w:spacing w:beforeLines="20" w:before="48" w:after="0" w:line="240" w:lineRule="auto"/>
            </w:pPr>
            <w:r w:rsidRPr="1E6F1F13">
              <w:rPr>
                <w:rFonts w:ascii="Calibri" w:hAnsi="Calibri" w:cs="Calibri"/>
              </w:rPr>
              <w:t xml:space="preserve">Provide a toll-free customer support line for consumers to receive assistance with selecting and enrolling in a health plan, updating consumer information, creating consumer accounts, troubleshooting issues, </w:t>
            </w:r>
            <w:r w:rsidR="193144CB" w:rsidRPr="1E6F1F13">
              <w:rPr>
                <w:rFonts w:ascii="Calibri" w:hAnsi="Calibri" w:cs="Calibri"/>
              </w:rPr>
              <w:t xml:space="preserve">completing </w:t>
            </w:r>
            <w:r w:rsidRPr="1E6F1F13">
              <w:rPr>
                <w:rFonts w:ascii="Calibri" w:hAnsi="Calibri" w:cs="Calibri"/>
              </w:rPr>
              <w:t>identity proofing, and answering consumer questions related to notices, eligibility, enrollment, and D</w:t>
            </w:r>
            <w:r w:rsidR="0E34E42F" w:rsidRPr="1E6F1F13">
              <w:rPr>
                <w:rFonts w:ascii="Calibri" w:hAnsi="Calibri" w:cs="Calibri"/>
              </w:rPr>
              <w:t xml:space="preserve">ata </w:t>
            </w:r>
            <w:r w:rsidRPr="1E6F1F13">
              <w:rPr>
                <w:rFonts w:ascii="Calibri" w:hAnsi="Calibri" w:cs="Calibri"/>
              </w:rPr>
              <w:t>M</w:t>
            </w:r>
            <w:r w:rsidR="0E34E42F" w:rsidRPr="1E6F1F13">
              <w:rPr>
                <w:rFonts w:ascii="Calibri" w:hAnsi="Calibri" w:cs="Calibri"/>
              </w:rPr>
              <w:t>atching Issues</w:t>
            </w:r>
            <w:r w:rsidRPr="1E6F1F13">
              <w:rPr>
                <w:rFonts w:ascii="Calibri" w:hAnsi="Calibri" w:cs="Calibri"/>
              </w:rPr>
              <w:t>/</w:t>
            </w:r>
            <w:r w:rsidR="58DDDEAA">
              <w:t>SEP</w:t>
            </w:r>
            <w:r w:rsidR="2E77F557">
              <w:t xml:space="preserve"> Verification Issue</w:t>
            </w:r>
            <w:r w:rsidR="58DDDEAA">
              <w:t>s</w:t>
            </w:r>
            <w:r w:rsidRPr="1E6F1F13">
              <w:rPr>
                <w:rFonts w:ascii="Calibri" w:hAnsi="Calibri" w:cs="Calibri"/>
              </w:rPr>
              <w:t>.</w:t>
            </w:r>
            <w:r w:rsidR="009111FD">
              <w:rPr>
                <w:rFonts w:ascii="Calibri" w:hAnsi="Calibri" w:cs="Calibri"/>
              </w:rPr>
              <w:t xml:space="preserve"> Provide an agent support line for agents offering an agent portal. </w:t>
            </w:r>
          </w:p>
        </w:tc>
        <w:tc>
          <w:tcPr>
            <w:tcW w:w="125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1A18127" w14:textId="6469F3A3" w:rsidR="00AC7380" w:rsidRDefault="00AC7380" w:rsidP="00A53E91">
            <w:pPr>
              <w:spacing w:beforeLines="20" w:before="48" w:after="0" w:line="240" w:lineRule="auto"/>
              <w:rPr>
                <w:iCs/>
              </w:rPr>
            </w:pPr>
            <w:r>
              <w:rPr>
                <w:iCs/>
              </w:rPr>
              <w:t xml:space="preserve">Web </w:t>
            </w:r>
            <w:r w:rsidR="003B05DC">
              <w:rPr>
                <w:iCs/>
              </w:rPr>
              <w:t>b</w:t>
            </w:r>
            <w:r>
              <w:rPr>
                <w:iCs/>
              </w:rPr>
              <w:t>rokers only</w:t>
            </w:r>
          </w:p>
        </w:tc>
        <w:tc>
          <w:tcPr>
            <w:tcW w:w="125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BE470F5" w14:textId="77777777" w:rsidR="00AC7380" w:rsidRDefault="00AC7380" w:rsidP="00A53E91">
            <w:pPr>
              <w:spacing w:beforeLines="20" w:before="48" w:after="0" w:line="240" w:lineRule="auto"/>
              <w:rPr>
                <w:iCs/>
              </w:rPr>
            </w:pPr>
            <w:r>
              <w:rPr>
                <w:iCs/>
              </w:rPr>
              <w:t>Yes</w:t>
            </w:r>
          </w:p>
        </w:tc>
        <w:tc>
          <w:tcPr>
            <w:tcW w:w="125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5CE6543" w14:textId="77777777" w:rsidR="00AC7380" w:rsidRDefault="00AC7380" w:rsidP="00A53E91">
            <w:pPr>
              <w:spacing w:beforeLines="20" w:before="48" w:after="0" w:line="240" w:lineRule="auto"/>
              <w:rPr>
                <w:iCs/>
              </w:rPr>
            </w:pPr>
            <w:r>
              <w:rPr>
                <w:iCs/>
              </w:rPr>
              <w:t>Yes</w:t>
            </w:r>
          </w:p>
        </w:tc>
        <w:tc>
          <w:tcPr>
            <w:tcW w:w="125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A0F715D" w14:textId="77777777" w:rsidR="00AC7380" w:rsidRDefault="00AC7380" w:rsidP="00A53E91">
            <w:pPr>
              <w:spacing w:beforeLines="20" w:before="48" w:after="0" w:line="240" w:lineRule="auto"/>
              <w:rPr>
                <w:iCs/>
              </w:rPr>
            </w:pPr>
            <w:r>
              <w:rPr>
                <w:iCs/>
              </w:rPr>
              <w:t>Yes</w:t>
            </w:r>
          </w:p>
        </w:tc>
      </w:tr>
      <w:tr w:rsidR="00AC7380" w14:paraId="59FBBAEF" w14:textId="77777777" w:rsidTr="2114FA65">
        <w:trPr>
          <w:gridAfter w:val="1"/>
          <w:wAfter w:w="9" w:type="dxa"/>
          <w:cantSplit/>
          <w:trHeight w:val="323"/>
        </w:trPr>
        <w:tc>
          <w:tcPr>
            <w:tcW w:w="431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90BEC41" w14:textId="2EAA9BBB" w:rsidR="00AC7380" w:rsidRPr="00991DC1" w:rsidRDefault="00AC7380" w:rsidP="00A53E91">
            <w:pPr>
              <w:spacing w:beforeLines="20" w:before="48" w:after="0" w:line="240" w:lineRule="auto"/>
            </w:pPr>
            <w:r w:rsidRPr="00991DC1">
              <w:rPr>
                <w:rFonts w:ascii="Calibri" w:hAnsi="Calibri" w:cs="Calibri"/>
              </w:rPr>
              <w:t>Develop</w:t>
            </w:r>
            <w:r w:rsidR="009111FD">
              <w:rPr>
                <w:rFonts w:ascii="Calibri" w:hAnsi="Calibri" w:cs="Calibri"/>
              </w:rPr>
              <w:t xml:space="preserve">, submit, </w:t>
            </w:r>
            <w:r w:rsidRPr="00991DC1">
              <w:rPr>
                <w:rFonts w:ascii="Calibri" w:hAnsi="Calibri" w:cs="Calibri"/>
              </w:rPr>
              <w:t xml:space="preserve">and implement a robust consumer support process, including having a staffing and operational plan in place to support and help consumers. </w:t>
            </w:r>
          </w:p>
        </w:tc>
        <w:tc>
          <w:tcPr>
            <w:tcW w:w="125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9735494" w14:textId="194341C1" w:rsidR="00AC7380" w:rsidRDefault="00AC7380" w:rsidP="00A53E91">
            <w:pPr>
              <w:spacing w:beforeLines="20" w:before="48" w:after="0" w:line="240" w:lineRule="auto"/>
              <w:rPr>
                <w:iCs/>
              </w:rPr>
            </w:pPr>
            <w:r>
              <w:rPr>
                <w:iCs/>
              </w:rPr>
              <w:t xml:space="preserve">Web </w:t>
            </w:r>
            <w:r w:rsidR="003B05DC">
              <w:rPr>
                <w:iCs/>
              </w:rPr>
              <w:t>b</w:t>
            </w:r>
            <w:r>
              <w:rPr>
                <w:iCs/>
              </w:rPr>
              <w:t>rokers only</w:t>
            </w:r>
          </w:p>
        </w:tc>
        <w:tc>
          <w:tcPr>
            <w:tcW w:w="125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88078E0" w14:textId="77777777" w:rsidR="00AC7380" w:rsidRDefault="00AC7380" w:rsidP="00A53E91">
            <w:pPr>
              <w:spacing w:beforeLines="20" w:before="48" w:after="0" w:line="240" w:lineRule="auto"/>
              <w:rPr>
                <w:iCs/>
              </w:rPr>
            </w:pPr>
            <w:r>
              <w:rPr>
                <w:iCs/>
              </w:rPr>
              <w:t>Yes</w:t>
            </w:r>
          </w:p>
        </w:tc>
        <w:tc>
          <w:tcPr>
            <w:tcW w:w="125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3A9EB51" w14:textId="77777777" w:rsidR="00AC7380" w:rsidRDefault="00AC7380" w:rsidP="00A53E91">
            <w:pPr>
              <w:spacing w:beforeLines="20" w:before="48" w:after="0" w:line="240" w:lineRule="auto"/>
              <w:rPr>
                <w:iCs/>
              </w:rPr>
            </w:pPr>
            <w:r>
              <w:rPr>
                <w:iCs/>
              </w:rPr>
              <w:t>Yes</w:t>
            </w:r>
          </w:p>
        </w:tc>
        <w:tc>
          <w:tcPr>
            <w:tcW w:w="125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8B52FE7" w14:textId="77777777" w:rsidR="00AC7380" w:rsidRDefault="00AC7380" w:rsidP="00A53E91">
            <w:pPr>
              <w:spacing w:beforeLines="20" w:before="48" w:after="0" w:line="240" w:lineRule="auto"/>
              <w:rPr>
                <w:iCs/>
              </w:rPr>
            </w:pPr>
            <w:r>
              <w:rPr>
                <w:iCs/>
              </w:rPr>
              <w:t>Yes</w:t>
            </w:r>
          </w:p>
        </w:tc>
      </w:tr>
      <w:tr w:rsidR="00AC7380" w14:paraId="098BC6E7" w14:textId="77777777" w:rsidTr="2114FA65">
        <w:trPr>
          <w:gridAfter w:val="1"/>
          <w:wAfter w:w="9" w:type="dxa"/>
          <w:cantSplit/>
          <w:trHeight w:val="323"/>
        </w:trPr>
        <w:tc>
          <w:tcPr>
            <w:tcW w:w="431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0399363" w14:textId="63F66B00" w:rsidR="00AC7380" w:rsidRPr="00991DC1" w:rsidRDefault="00AC7380" w:rsidP="00A53E91">
            <w:pPr>
              <w:spacing w:beforeLines="20" w:before="48" w:after="0" w:line="240" w:lineRule="auto"/>
            </w:pPr>
            <w:r w:rsidRPr="00E53545">
              <w:rPr>
                <w:rFonts w:ascii="Calibri" w:hAnsi="Calibri" w:cs="Calibri"/>
              </w:rPr>
              <w:t xml:space="preserve">Provide a </w:t>
            </w:r>
            <w:r>
              <w:rPr>
                <w:rFonts w:ascii="Calibri" w:hAnsi="Calibri" w:cs="Calibri"/>
              </w:rPr>
              <w:t>single, streamlined application (</w:t>
            </w:r>
            <w:proofErr w:type="spellStart"/>
            <w:r>
              <w:rPr>
                <w:rFonts w:ascii="Calibri" w:hAnsi="Calibri" w:cs="Calibri"/>
              </w:rPr>
              <w:t>SSApp</w:t>
            </w:r>
            <w:proofErr w:type="spellEnd"/>
            <w:r w:rsidRPr="00E53545">
              <w:rPr>
                <w:rFonts w:ascii="Calibri" w:hAnsi="Calibri" w:cs="Calibri"/>
              </w:rPr>
              <w:t>) as defined by 45 CFR 155.405 and approved by CMS except where the</w:t>
            </w:r>
            <w:r w:rsidRPr="00E53545">
              <w:t xml:space="preserve"> SBE</w:t>
            </w:r>
            <w:r w:rsidRPr="00E53545">
              <w:rPr>
                <w:rFonts w:ascii="Calibri" w:hAnsi="Calibri" w:cs="Calibri"/>
              </w:rPr>
              <w:t xml:space="preserve"> has required modifications.</w:t>
            </w:r>
          </w:p>
        </w:tc>
        <w:tc>
          <w:tcPr>
            <w:tcW w:w="125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BD819A7" w14:textId="77777777" w:rsidR="00AC7380" w:rsidRDefault="00AC7380" w:rsidP="00A53E91">
            <w:pPr>
              <w:spacing w:beforeLines="20" w:before="48" w:after="0" w:line="240" w:lineRule="auto"/>
              <w:rPr>
                <w:iCs/>
              </w:rPr>
            </w:pPr>
            <w:r>
              <w:rPr>
                <w:iCs/>
              </w:rPr>
              <w:t>Yes</w:t>
            </w:r>
          </w:p>
        </w:tc>
        <w:tc>
          <w:tcPr>
            <w:tcW w:w="125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C5CE998" w14:textId="77777777" w:rsidR="00AC7380" w:rsidRDefault="00AC7380" w:rsidP="00A53E91">
            <w:pPr>
              <w:spacing w:beforeLines="20" w:before="48" w:after="0" w:line="240" w:lineRule="auto"/>
              <w:rPr>
                <w:iCs/>
              </w:rPr>
            </w:pPr>
            <w:r>
              <w:rPr>
                <w:iCs/>
              </w:rPr>
              <w:t>No</w:t>
            </w:r>
          </w:p>
        </w:tc>
        <w:tc>
          <w:tcPr>
            <w:tcW w:w="125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37A4276" w14:textId="77777777" w:rsidR="00AC7380" w:rsidRDefault="00AC7380" w:rsidP="00A53E91">
            <w:pPr>
              <w:spacing w:beforeLines="20" w:before="48" w:after="0" w:line="240" w:lineRule="auto"/>
              <w:rPr>
                <w:iCs/>
              </w:rPr>
            </w:pPr>
            <w:r>
              <w:rPr>
                <w:iCs/>
              </w:rPr>
              <w:t>No</w:t>
            </w:r>
          </w:p>
        </w:tc>
        <w:tc>
          <w:tcPr>
            <w:tcW w:w="125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4548555" w14:textId="3A4FDAEA" w:rsidR="00AC7380" w:rsidRDefault="00AC7380" w:rsidP="04F74BE1">
            <w:pPr>
              <w:spacing w:beforeLines="20" w:before="48" w:after="0" w:line="240" w:lineRule="auto"/>
            </w:pPr>
            <w:r>
              <w:t>No</w:t>
            </w:r>
          </w:p>
        </w:tc>
      </w:tr>
      <w:tr w:rsidR="00AC7380" w14:paraId="1066397F" w14:textId="77777777" w:rsidTr="2114FA65">
        <w:trPr>
          <w:gridAfter w:val="1"/>
          <w:wAfter w:w="9" w:type="dxa"/>
          <w:cantSplit/>
          <w:trHeight w:val="323"/>
        </w:trPr>
        <w:tc>
          <w:tcPr>
            <w:tcW w:w="431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25A4829" w14:textId="2F200D3F" w:rsidR="00AC7380" w:rsidRPr="00991DC1" w:rsidRDefault="00AC7380" w:rsidP="00A53E91">
            <w:pPr>
              <w:spacing w:beforeLines="20" w:before="48" w:after="0" w:line="240" w:lineRule="auto"/>
            </w:pPr>
            <w:r w:rsidRPr="00991DC1">
              <w:rPr>
                <w:rFonts w:ascii="Calibri" w:hAnsi="Calibri" w:cs="Calibri"/>
              </w:rPr>
              <w:t xml:space="preserve">Follow the Georgia Access optional change request process outlined in the </w:t>
            </w:r>
            <w:r w:rsidR="008B5D95">
              <w:rPr>
                <w:rFonts w:ascii="Calibri" w:hAnsi="Calibri" w:cs="Calibri"/>
                <w:i/>
                <w:iCs/>
              </w:rPr>
              <w:t xml:space="preserve">PY 2025 </w:t>
            </w:r>
            <w:r w:rsidR="00344B53">
              <w:rPr>
                <w:rFonts w:ascii="Calibri" w:hAnsi="Calibri" w:cs="Calibri"/>
                <w:i/>
                <w:iCs/>
              </w:rPr>
              <w:t>EDE Partner Application.</w:t>
            </w:r>
            <w:r w:rsidRPr="00991DC1">
              <w:rPr>
                <w:rFonts w:ascii="Calibri" w:hAnsi="Calibri" w:cs="Calibri"/>
              </w:rPr>
              <w:t xml:space="preserve"> if the entity deviates from their CMS-approved EDE </w:t>
            </w:r>
            <w:r>
              <w:rPr>
                <w:rFonts w:ascii="Calibri" w:hAnsi="Calibri" w:cs="Calibri"/>
              </w:rPr>
              <w:t>user interface (UI)</w:t>
            </w:r>
            <w:r w:rsidRPr="00991DC1">
              <w:rPr>
                <w:rFonts w:ascii="Calibri" w:hAnsi="Calibri" w:cs="Calibri"/>
              </w:rPr>
              <w:t>/QHP application and makes Georgia Access</w:t>
            </w:r>
            <w:r>
              <w:rPr>
                <w:rFonts w:ascii="Calibri" w:hAnsi="Calibri" w:cs="Calibri"/>
              </w:rPr>
              <w:t>-</w:t>
            </w:r>
            <w:r w:rsidRPr="00991DC1">
              <w:rPr>
                <w:rFonts w:ascii="Calibri" w:hAnsi="Calibri" w:cs="Calibri"/>
              </w:rPr>
              <w:t>specific changes to either their UI/QHP application, phase, or display of non-QHPs.</w:t>
            </w:r>
          </w:p>
        </w:tc>
        <w:tc>
          <w:tcPr>
            <w:tcW w:w="125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C8F283B" w14:textId="77777777" w:rsidR="00AC7380" w:rsidRDefault="00AC7380" w:rsidP="00A53E91">
            <w:pPr>
              <w:spacing w:beforeLines="20" w:before="48" w:after="0" w:line="240" w:lineRule="auto"/>
              <w:rPr>
                <w:iCs/>
              </w:rPr>
            </w:pPr>
            <w:r>
              <w:rPr>
                <w:iCs/>
              </w:rPr>
              <w:t>Yes</w:t>
            </w:r>
          </w:p>
        </w:tc>
        <w:tc>
          <w:tcPr>
            <w:tcW w:w="125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B074962" w14:textId="77777777" w:rsidR="00AC7380" w:rsidRDefault="00AC7380" w:rsidP="00A53E91">
            <w:pPr>
              <w:spacing w:beforeLines="20" w:before="48" w:after="0" w:line="240" w:lineRule="auto"/>
              <w:rPr>
                <w:iCs/>
              </w:rPr>
            </w:pPr>
            <w:r>
              <w:rPr>
                <w:iCs/>
              </w:rPr>
              <w:t>Yes</w:t>
            </w:r>
          </w:p>
        </w:tc>
        <w:tc>
          <w:tcPr>
            <w:tcW w:w="125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1970872" w14:textId="77777777" w:rsidR="00AC7380" w:rsidRDefault="00AC7380" w:rsidP="00A53E91">
            <w:pPr>
              <w:spacing w:beforeLines="20" w:before="48" w:after="0" w:line="240" w:lineRule="auto"/>
              <w:rPr>
                <w:iCs/>
              </w:rPr>
            </w:pPr>
            <w:r>
              <w:rPr>
                <w:iCs/>
              </w:rPr>
              <w:t>Yes</w:t>
            </w:r>
          </w:p>
        </w:tc>
        <w:tc>
          <w:tcPr>
            <w:tcW w:w="125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A2BE112" w14:textId="77777777" w:rsidR="00AC7380" w:rsidRDefault="00AC7380" w:rsidP="00A53E91">
            <w:pPr>
              <w:spacing w:beforeLines="20" w:before="48" w:after="0" w:line="240" w:lineRule="auto"/>
              <w:rPr>
                <w:iCs/>
              </w:rPr>
            </w:pPr>
            <w:r>
              <w:rPr>
                <w:iCs/>
              </w:rPr>
              <w:t>No</w:t>
            </w:r>
          </w:p>
        </w:tc>
      </w:tr>
      <w:tr w:rsidR="00AC7380" w14:paraId="5FA4E1F9" w14:textId="77777777" w:rsidTr="2114FA65">
        <w:trPr>
          <w:gridAfter w:val="1"/>
          <w:wAfter w:w="9" w:type="dxa"/>
          <w:cantSplit/>
          <w:trHeight w:val="323"/>
        </w:trPr>
        <w:tc>
          <w:tcPr>
            <w:tcW w:w="431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CB87B54" w14:textId="6E46FC80" w:rsidR="00AC7380" w:rsidRPr="00991DC1" w:rsidRDefault="00AC7380" w:rsidP="00A53E91">
            <w:pPr>
              <w:spacing w:beforeLines="20" w:before="48" w:after="0" w:line="240" w:lineRule="auto"/>
            </w:pPr>
            <w:r w:rsidRPr="002D16EE">
              <w:rPr>
                <w:rFonts w:ascii="Calibri" w:hAnsi="Calibri" w:cs="Calibri"/>
              </w:rPr>
              <w:lastRenderedPageBreak/>
              <w:t xml:space="preserve">Display and </w:t>
            </w:r>
            <w:r w:rsidR="00BC0983">
              <w:rPr>
                <w:rFonts w:ascii="Calibri" w:hAnsi="Calibri" w:cs="Calibri"/>
              </w:rPr>
              <w:t>faci</w:t>
            </w:r>
            <w:r w:rsidRPr="002D16EE">
              <w:rPr>
                <w:rFonts w:ascii="Calibri" w:hAnsi="Calibri" w:cs="Calibri"/>
              </w:rPr>
              <w:t>l</w:t>
            </w:r>
            <w:r w:rsidR="00BC0983">
              <w:rPr>
                <w:rFonts w:ascii="Calibri" w:hAnsi="Calibri" w:cs="Calibri"/>
              </w:rPr>
              <w:t>itate enro</w:t>
            </w:r>
            <w:r w:rsidRPr="002D16EE">
              <w:rPr>
                <w:rFonts w:ascii="Calibri" w:hAnsi="Calibri" w:cs="Calibri"/>
              </w:rPr>
              <w:t>l</w:t>
            </w:r>
            <w:r w:rsidR="00BC0983">
              <w:rPr>
                <w:rFonts w:ascii="Calibri" w:hAnsi="Calibri" w:cs="Calibri"/>
              </w:rPr>
              <w:t>lment in</w:t>
            </w:r>
            <w:r w:rsidRPr="002D16EE">
              <w:rPr>
                <w:rFonts w:ascii="Calibri" w:hAnsi="Calibri" w:cs="Calibri"/>
              </w:rPr>
              <w:t xml:space="preserve"> all Georgia Access QHPs, Catastrophic plans, and SADPs (if noted in </w:t>
            </w:r>
            <w:r w:rsidR="00FC6B57">
              <w:rPr>
                <w:rFonts w:ascii="Calibri" w:hAnsi="Calibri" w:cs="Calibri"/>
              </w:rPr>
              <w:t>the</w:t>
            </w:r>
            <w:r w:rsidR="00B73FBB">
              <w:rPr>
                <w:rFonts w:ascii="Calibri" w:hAnsi="Calibri" w:cs="Calibri"/>
              </w:rPr>
              <w:t xml:space="preserve"> </w:t>
            </w:r>
            <w:r w:rsidRPr="002D16EE">
              <w:rPr>
                <w:rFonts w:ascii="Calibri" w:hAnsi="Calibri" w:cs="Calibri"/>
              </w:rPr>
              <w:t>organization</w:t>
            </w:r>
            <w:r w:rsidR="00E94085">
              <w:rPr>
                <w:rFonts w:ascii="Calibri" w:hAnsi="Calibri" w:cs="Calibri"/>
              </w:rPr>
              <w:t>’</w:t>
            </w:r>
            <w:r w:rsidRPr="002D16EE">
              <w:rPr>
                <w:rFonts w:ascii="Calibri" w:hAnsi="Calibri" w:cs="Calibri"/>
              </w:rPr>
              <w:t xml:space="preserve">s </w:t>
            </w:r>
            <w:r w:rsidR="007B75CE">
              <w:rPr>
                <w:rFonts w:ascii="Calibri" w:hAnsi="Calibri" w:cs="Calibri"/>
              </w:rPr>
              <w:t>a</w:t>
            </w:r>
            <w:r w:rsidRPr="002D16EE">
              <w:rPr>
                <w:rFonts w:ascii="Calibri" w:hAnsi="Calibri" w:cs="Calibri"/>
              </w:rPr>
              <w:t xml:space="preserve">pplication that </w:t>
            </w:r>
            <w:r w:rsidR="00B73FBB">
              <w:rPr>
                <w:rFonts w:ascii="Calibri" w:hAnsi="Calibri" w:cs="Calibri"/>
              </w:rPr>
              <w:t>the</w:t>
            </w:r>
            <w:r w:rsidR="00B73FBB" w:rsidRPr="002D16EE">
              <w:rPr>
                <w:rFonts w:ascii="Calibri" w:hAnsi="Calibri" w:cs="Calibri"/>
              </w:rPr>
              <w:t xml:space="preserve"> </w:t>
            </w:r>
            <w:r w:rsidRPr="002D16EE">
              <w:rPr>
                <w:rFonts w:ascii="Calibri" w:hAnsi="Calibri" w:cs="Calibri"/>
              </w:rPr>
              <w:t xml:space="preserve">organization supports SADP functionality) available to consumers within respective </w:t>
            </w:r>
            <w:r w:rsidR="00BA2521">
              <w:rPr>
                <w:rFonts w:ascii="Calibri" w:hAnsi="Calibri" w:cs="Calibri"/>
              </w:rPr>
              <w:t xml:space="preserve">Georgia </w:t>
            </w:r>
            <w:r w:rsidRPr="002D16EE">
              <w:rPr>
                <w:rFonts w:ascii="Calibri" w:hAnsi="Calibri" w:cs="Calibri"/>
              </w:rPr>
              <w:t>counties.</w:t>
            </w:r>
          </w:p>
        </w:tc>
        <w:tc>
          <w:tcPr>
            <w:tcW w:w="125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C601638" w14:textId="77777777" w:rsidR="00AC7380" w:rsidRDefault="00AC7380" w:rsidP="00A53E91">
            <w:pPr>
              <w:spacing w:beforeLines="20" w:before="48" w:after="0" w:line="240" w:lineRule="auto"/>
              <w:rPr>
                <w:iCs/>
              </w:rPr>
            </w:pPr>
            <w:r>
              <w:rPr>
                <w:iCs/>
              </w:rPr>
              <w:t>Yes</w:t>
            </w:r>
          </w:p>
        </w:tc>
        <w:tc>
          <w:tcPr>
            <w:tcW w:w="125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D410782" w14:textId="248E0E50" w:rsidR="00AC7380" w:rsidRDefault="00AC7380" w:rsidP="04F74BE1">
            <w:pPr>
              <w:spacing w:beforeLines="20" w:before="48" w:after="0" w:line="240" w:lineRule="auto"/>
            </w:pPr>
            <w:r>
              <w:t>No</w:t>
            </w:r>
          </w:p>
        </w:tc>
        <w:tc>
          <w:tcPr>
            <w:tcW w:w="125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2C9E3AA" w14:textId="77777777" w:rsidR="00AC7380" w:rsidRDefault="00AC7380" w:rsidP="00A53E91">
            <w:pPr>
              <w:spacing w:beforeLines="20" w:before="48" w:after="0" w:line="240" w:lineRule="auto"/>
              <w:rPr>
                <w:iCs/>
              </w:rPr>
            </w:pPr>
            <w:r>
              <w:rPr>
                <w:iCs/>
              </w:rPr>
              <w:t>No</w:t>
            </w:r>
          </w:p>
        </w:tc>
        <w:tc>
          <w:tcPr>
            <w:tcW w:w="125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62FB7A4" w14:textId="77777777" w:rsidR="00AC7380" w:rsidRDefault="00AC7380" w:rsidP="00A53E91">
            <w:pPr>
              <w:spacing w:beforeLines="20" w:before="48" w:after="0" w:line="240" w:lineRule="auto"/>
              <w:rPr>
                <w:iCs/>
              </w:rPr>
            </w:pPr>
            <w:r>
              <w:rPr>
                <w:iCs/>
              </w:rPr>
              <w:t>No</w:t>
            </w:r>
          </w:p>
        </w:tc>
      </w:tr>
      <w:tr w:rsidR="00AC7380" w14:paraId="2A63346B" w14:textId="77777777" w:rsidTr="2114FA65">
        <w:trPr>
          <w:gridAfter w:val="1"/>
          <w:wAfter w:w="9" w:type="dxa"/>
          <w:cantSplit/>
          <w:trHeight w:val="323"/>
        </w:trPr>
        <w:tc>
          <w:tcPr>
            <w:tcW w:w="431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37DEDAA" w14:textId="436E8F65" w:rsidR="00AC7380" w:rsidRPr="00991DC1" w:rsidRDefault="00AC7380" w:rsidP="00A53E91">
            <w:pPr>
              <w:spacing w:beforeLines="20" w:before="48" w:after="0" w:line="240" w:lineRule="auto"/>
            </w:pPr>
            <w:r w:rsidRPr="00991DC1">
              <w:rPr>
                <w:rFonts w:ascii="Calibri" w:hAnsi="Calibri" w:cs="Calibri"/>
              </w:rPr>
              <w:t xml:space="preserve">Display and sell </w:t>
            </w:r>
            <w:proofErr w:type="gramStart"/>
            <w:r w:rsidRPr="00991DC1">
              <w:rPr>
                <w:rFonts w:ascii="Calibri" w:hAnsi="Calibri" w:cs="Calibri"/>
              </w:rPr>
              <w:t>all of</w:t>
            </w:r>
            <w:proofErr w:type="gramEnd"/>
            <w:r w:rsidRPr="00991DC1">
              <w:rPr>
                <w:rFonts w:ascii="Calibri" w:hAnsi="Calibri" w:cs="Calibri"/>
              </w:rPr>
              <w:t xml:space="preserve"> their own Georgia Access QHPs, </w:t>
            </w:r>
            <w:r>
              <w:rPr>
                <w:rFonts w:ascii="Calibri" w:hAnsi="Calibri" w:cs="Calibri"/>
              </w:rPr>
              <w:t>C</w:t>
            </w:r>
            <w:r w:rsidRPr="00991DC1">
              <w:rPr>
                <w:rFonts w:ascii="Calibri" w:hAnsi="Calibri" w:cs="Calibri"/>
              </w:rPr>
              <w:t>atastrophic</w:t>
            </w:r>
            <w:r>
              <w:rPr>
                <w:rFonts w:ascii="Calibri" w:hAnsi="Calibri" w:cs="Calibri"/>
              </w:rPr>
              <w:t xml:space="preserve"> plans</w:t>
            </w:r>
            <w:r w:rsidRPr="00991DC1">
              <w:rPr>
                <w:rFonts w:ascii="Calibri" w:hAnsi="Calibri" w:cs="Calibri"/>
              </w:rPr>
              <w:t xml:space="preserve">, and </w:t>
            </w:r>
            <w:r>
              <w:rPr>
                <w:rFonts w:ascii="Calibri" w:hAnsi="Calibri" w:cs="Calibri"/>
              </w:rPr>
              <w:t>SADPs</w:t>
            </w:r>
            <w:r w:rsidRPr="00991DC1">
              <w:rPr>
                <w:rFonts w:ascii="Calibri" w:hAnsi="Calibri" w:cs="Calibri"/>
              </w:rPr>
              <w:t xml:space="preserve"> available to consumers within </w:t>
            </w:r>
            <w:r>
              <w:rPr>
                <w:rFonts w:ascii="Calibri" w:hAnsi="Calibri" w:cs="Calibri"/>
              </w:rPr>
              <w:t>applicable</w:t>
            </w:r>
            <w:r w:rsidRPr="00991DC1">
              <w:rPr>
                <w:rFonts w:ascii="Calibri" w:hAnsi="Calibri" w:cs="Calibri"/>
              </w:rPr>
              <w:t xml:space="preserve"> </w:t>
            </w:r>
            <w:r w:rsidR="00C02976">
              <w:rPr>
                <w:rFonts w:ascii="Calibri" w:hAnsi="Calibri" w:cs="Calibri"/>
              </w:rPr>
              <w:t xml:space="preserve">Georgia </w:t>
            </w:r>
            <w:r w:rsidRPr="00991DC1">
              <w:rPr>
                <w:rFonts w:ascii="Calibri" w:hAnsi="Calibri" w:cs="Calibri"/>
              </w:rPr>
              <w:t>counties.</w:t>
            </w:r>
          </w:p>
        </w:tc>
        <w:tc>
          <w:tcPr>
            <w:tcW w:w="125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113754A" w14:textId="77777777" w:rsidR="00AC7380" w:rsidRDefault="00AC7380" w:rsidP="00A53E91">
            <w:pPr>
              <w:spacing w:beforeLines="20" w:before="48" w:after="0" w:line="240" w:lineRule="auto"/>
              <w:rPr>
                <w:iCs/>
              </w:rPr>
            </w:pPr>
            <w:r>
              <w:rPr>
                <w:iCs/>
              </w:rPr>
              <w:t>No</w:t>
            </w:r>
          </w:p>
        </w:tc>
        <w:tc>
          <w:tcPr>
            <w:tcW w:w="125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2876C42" w14:textId="77777777" w:rsidR="00AC7380" w:rsidRDefault="00AC7380" w:rsidP="00A53E91">
            <w:pPr>
              <w:spacing w:beforeLines="20" w:before="48" w:after="0" w:line="240" w:lineRule="auto"/>
              <w:rPr>
                <w:iCs/>
              </w:rPr>
            </w:pPr>
            <w:r>
              <w:rPr>
                <w:iCs/>
              </w:rPr>
              <w:t>No</w:t>
            </w:r>
          </w:p>
        </w:tc>
        <w:tc>
          <w:tcPr>
            <w:tcW w:w="125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050C152" w14:textId="77777777" w:rsidR="00AC7380" w:rsidRDefault="00AC7380" w:rsidP="00A53E91">
            <w:pPr>
              <w:spacing w:beforeLines="20" w:before="48" w:after="0" w:line="240" w:lineRule="auto"/>
              <w:rPr>
                <w:iCs/>
              </w:rPr>
            </w:pPr>
            <w:r>
              <w:rPr>
                <w:iCs/>
              </w:rPr>
              <w:t>Yes</w:t>
            </w:r>
          </w:p>
        </w:tc>
        <w:tc>
          <w:tcPr>
            <w:tcW w:w="125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5153A1C" w14:textId="77777777" w:rsidR="00AC7380" w:rsidRDefault="00AC7380" w:rsidP="00A53E91">
            <w:pPr>
              <w:spacing w:beforeLines="20" w:before="48" w:after="0" w:line="240" w:lineRule="auto"/>
              <w:rPr>
                <w:iCs/>
              </w:rPr>
            </w:pPr>
            <w:r>
              <w:rPr>
                <w:iCs/>
              </w:rPr>
              <w:t>Yes</w:t>
            </w:r>
          </w:p>
        </w:tc>
      </w:tr>
      <w:tr w:rsidR="00AC7380" w14:paraId="14AED4B9" w14:textId="77777777" w:rsidTr="2114FA65">
        <w:trPr>
          <w:gridAfter w:val="1"/>
          <w:wAfter w:w="9" w:type="dxa"/>
          <w:cantSplit/>
          <w:trHeight w:val="323"/>
        </w:trPr>
        <w:tc>
          <w:tcPr>
            <w:tcW w:w="431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ADEA418" w14:textId="31C2D45F" w:rsidR="00AC7380" w:rsidRPr="00991DC1" w:rsidRDefault="00AC7380" w:rsidP="00A53E91">
            <w:pPr>
              <w:spacing w:beforeLines="20" w:before="48" w:after="0" w:line="240" w:lineRule="auto"/>
            </w:pPr>
            <w:r w:rsidRPr="00991DC1">
              <w:rPr>
                <w:rFonts w:ascii="Calibri" w:hAnsi="Calibri" w:cs="Calibri"/>
              </w:rPr>
              <w:t xml:space="preserve">Adhere to </w:t>
            </w:r>
            <w:r w:rsidRPr="00903BFB">
              <w:rPr>
                <w:rFonts w:ascii="Calibri" w:hAnsi="Calibri" w:cs="Calibri"/>
                <w:i/>
                <w:iCs/>
              </w:rPr>
              <w:t xml:space="preserve">Georgia Access </w:t>
            </w:r>
            <w:r>
              <w:rPr>
                <w:rFonts w:ascii="Calibri" w:hAnsi="Calibri" w:cs="Calibri"/>
                <w:i/>
                <w:iCs/>
              </w:rPr>
              <w:t>EDE Partner</w:t>
            </w:r>
            <w:r w:rsidRPr="00903BFB">
              <w:rPr>
                <w:rFonts w:ascii="Calibri" w:hAnsi="Calibri" w:cs="Calibri"/>
                <w:i/>
                <w:iCs/>
              </w:rPr>
              <w:t xml:space="preserve"> Marketing Guidelines </w:t>
            </w:r>
            <w:r>
              <w:rPr>
                <w:rFonts w:ascii="Calibri" w:hAnsi="Calibri" w:cs="Calibri"/>
                <w:i/>
                <w:iCs/>
              </w:rPr>
              <w:t>for OE 202</w:t>
            </w:r>
            <w:r w:rsidR="007A6979">
              <w:rPr>
                <w:rFonts w:ascii="Calibri" w:hAnsi="Calibri" w:cs="Calibri"/>
                <w:i/>
                <w:iCs/>
              </w:rPr>
              <w:t>5</w:t>
            </w:r>
            <w:r w:rsidRPr="00903BFB">
              <w:rPr>
                <w:rFonts w:ascii="Calibri" w:hAnsi="Calibri" w:cs="Calibri"/>
                <w:i/>
                <w:iCs/>
              </w:rPr>
              <w:t xml:space="preserve"> </w:t>
            </w:r>
            <w:r w:rsidRPr="00991DC1">
              <w:rPr>
                <w:rFonts w:ascii="Calibri" w:hAnsi="Calibri" w:cs="Calibri"/>
              </w:rPr>
              <w:t xml:space="preserve">as established by the </w:t>
            </w:r>
            <w:r>
              <w:rPr>
                <w:rFonts w:ascii="Calibri" w:hAnsi="Calibri" w:cs="Calibri"/>
              </w:rPr>
              <w:t>SBE</w:t>
            </w:r>
            <w:r w:rsidR="00266C8B">
              <w:rPr>
                <w:rFonts w:ascii="Calibri" w:hAnsi="Calibri" w:cs="Calibri"/>
              </w:rPr>
              <w:t xml:space="preserve"> and provided to web brokers and insurance companies.</w:t>
            </w:r>
          </w:p>
        </w:tc>
        <w:tc>
          <w:tcPr>
            <w:tcW w:w="125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A4A018B" w14:textId="34E371AA" w:rsidR="00AC7380" w:rsidRDefault="00AC7380" w:rsidP="00A53E91">
            <w:pPr>
              <w:spacing w:beforeLines="20" w:before="48" w:after="0" w:line="240" w:lineRule="auto"/>
              <w:rPr>
                <w:iCs/>
              </w:rPr>
            </w:pPr>
            <w:r>
              <w:rPr>
                <w:iCs/>
              </w:rPr>
              <w:t xml:space="preserve">Web </w:t>
            </w:r>
            <w:r w:rsidR="003B05DC">
              <w:rPr>
                <w:iCs/>
              </w:rPr>
              <w:t>b</w:t>
            </w:r>
            <w:r>
              <w:rPr>
                <w:iCs/>
              </w:rPr>
              <w:t>rokers only</w:t>
            </w:r>
          </w:p>
        </w:tc>
        <w:tc>
          <w:tcPr>
            <w:tcW w:w="125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429D649" w14:textId="77777777" w:rsidR="00AC7380" w:rsidRDefault="00AC7380" w:rsidP="00A53E91">
            <w:pPr>
              <w:spacing w:beforeLines="20" w:before="48" w:after="0" w:line="240" w:lineRule="auto"/>
              <w:rPr>
                <w:iCs/>
              </w:rPr>
            </w:pPr>
            <w:r>
              <w:rPr>
                <w:iCs/>
              </w:rPr>
              <w:t>Yes</w:t>
            </w:r>
          </w:p>
        </w:tc>
        <w:tc>
          <w:tcPr>
            <w:tcW w:w="125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40E8F7A" w14:textId="77777777" w:rsidR="00AC7380" w:rsidRDefault="00AC7380" w:rsidP="00A53E91">
            <w:pPr>
              <w:spacing w:beforeLines="20" w:before="48" w:after="0" w:line="240" w:lineRule="auto"/>
              <w:rPr>
                <w:iCs/>
              </w:rPr>
            </w:pPr>
            <w:r>
              <w:rPr>
                <w:iCs/>
              </w:rPr>
              <w:t>Yes</w:t>
            </w:r>
          </w:p>
        </w:tc>
        <w:tc>
          <w:tcPr>
            <w:tcW w:w="125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DA316CF" w14:textId="77777777" w:rsidR="00AC7380" w:rsidRDefault="00AC7380" w:rsidP="00A53E91">
            <w:pPr>
              <w:spacing w:beforeLines="20" w:before="48" w:after="0" w:line="240" w:lineRule="auto"/>
              <w:rPr>
                <w:iCs/>
              </w:rPr>
            </w:pPr>
            <w:r>
              <w:rPr>
                <w:iCs/>
              </w:rPr>
              <w:t>Yes</w:t>
            </w:r>
          </w:p>
        </w:tc>
      </w:tr>
      <w:tr w:rsidR="00AC7380" w14:paraId="22F7D6F8" w14:textId="77777777" w:rsidTr="2114FA65">
        <w:trPr>
          <w:gridAfter w:val="1"/>
          <w:wAfter w:w="9" w:type="dxa"/>
          <w:cantSplit/>
          <w:trHeight w:val="323"/>
        </w:trPr>
        <w:tc>
          <w:tcPr>
            <w:tcW w:w="431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22388AA" w14:textId="666D4975" w:rsidR="00AC7380" w:rsidRPr="00991DC1" w:rsidRDefault="00AC7380" w:rsidP="00A53E91">
            <w:pPr>
              <w:spacing w:beforeLines="20" w:before="48" w:after="0" w:line="240" w:lineRule="auto"/>
            </w:pPr>
            <w:r w:rsidRPr="00991DC1">
              <w:rPr>
                <w:rFonts w:ascii="Calibri" w:hAnsi="Calibri" w:cs="Calibri"/>
              </w:rPr>
              <w:t xml:space="preserve">Prohibit QHP advertising, or otherwise providing favored or “preferred placement,” in the display of QHPs, on </w:t>
            </w:r>
            <w:r>
              <w:rPr>
                <w:rFonts w:ascii="Calibri" w:hAnsi="Calibri" w:cs="Calibri"/>
              </w:rPr>
              <w:t>web broker</w:t>
            </w:r>
            <w:r w:rsidRPr="00991DC1">
              <w:rPr>
                <w:rFonts w:ascii="Calibri" w:hAnsi="Calibri" w:cs="Calibri"/>
              </w:rPr>
              <w:t xml:space="preserve"> and </w:t>
            </w:r>
            <w:r w:rsidR="00710174">
              <w:rPr>
                <w:rFonts w:ascii="Calibri" w:hAnsi="Calibri" w:cs="Calibri"/>
              </w:rPr>
              <w:t>insurance company</w:t>
            </w:r>
            <w:r w:rsidRPr="00991DC1">
              <w:rPr>
                <w:rFonts w:ascii="Calibri" w:hAnsi="Calibri" w:cs="Calibri"/>
              </w:rPr>
              <w:t xml:space="preserve"> websites based on the compensation an </w:t>
            </w:r>
            <w:r>
              <w:rPr>
                <w:rFonts w:ascii="Calibri" w:hAnsi="Calibri" w:cs="Calibri"/>
              </w:rPr>
              <w:t>agent or web broker</w:t>
            </w:r>
            <w:r w:rsidRPr="00991DC1">
              <w:rPr>
                <w:rFonts w:ascii="Calibri" w:hAnsi="Calibri" w:cs="Calibri"/>
              </w:rPr>
              <w:t xml:space="preserve"> receives from </w:t>
            </w:r>
            <w:r>
              <w:rPr>
                <w:rFonts w:ascii="Calibri" w:hAnsi="Calibri" w:cs="Calibri"/>
              </w:rPr>
              <w:t xml:space="preserve">QHP </w:t>
            </w:r>
            <w:r w:rsidR="00710174">
              <w:rPr>
                <w:rFonts w:ascii="Calibri" w:hAnsi="Calibri" w:cs="Calibri"/>
              </w:rPr>
              <w:t>insurance companies</w:t>
            </w:r>
            <w:r w:rsidRPr="00991DC1">
              <w:rPr>
                <w:rFonts w:ascii="Calibri" w:hAnsi="Calibri" w:cs="Calibri"/>
              </w:rPr>
              <w:t>.</w:t>
            </w:r>
          </w:p>
        </w:tc>
        <w:tc>
          <w:tcPr>
            <w:tcW w:w="125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83E91DC" w14:textId="77777777" w:rsidR="00AC7380" w:rsidRDefault="00AC7380" w:rsidP="00A53E91">
            <w:pPr>
              <w:spacing w:beforeLines="20" w:before="48" w:after="0" w:line="240" w:lineRule="auto"/>
              <w:rPr>
                <w:iCs/>
              </w:rPr>
            </w:pPr>
            <w:r>
              <w:rPr>
                <w:iCs/>
              </w:rPr>
              <w:t>Yes</w:t>
            </w:r>
          </w:p>
        </w:tc>
        <w:tc>
          <w:tcPr>
            <w:tcW w:w="125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36E964B" w14:textId="77777777" w:rsidR="00AC7380" w:rsidRDefault="00AC7380" w:rsidP="00A53E91">
            <w:pPr>
              <w:spacing w:beforeLines="20" w:before="48" w:after="0" w:line="240" w:lineRule="auto"/>
              <w:rPr>
                <w:iCs/>
              </w:rPr>
            </w:pPr>
            <w:r>
              <w:rPr>
                <w:iCs/>
              </w:rPr>
              <w:t>Yes</w:t>
            </w:r>
          </w:p>
        </w:tc>
        <w:tc>
          <w:tcPr>
            <w:tcW w:w="125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48867FB" w14:textId="77777777" w:rsidR="00AC7380" w:rsidRDefault="00AC7380" w:rsidP="00A53E91">
            <w:pPr>
              <w:spacing w:beforeLines="20" w:before="48" w:after="0" w:line="240" w:lineRule="auto"/>
              <w:rPr>
                <w:iCs/>
              </w:rPr>
            </w:pPr>
            <w:r>
              <w:rPr>
                <w:iCs/>
              </w:rPr>
              <w:t>Yes</w:t>
            </w:r>
          </w:p>
        </w:tc>
        <w:tc>
          <w:tcPr>
            <w:tcW w:w="125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009CC84" w14:textId="77777777" w:rsidR="00AC7380" w:rsidRDefault="00AC7380" w:rsidP="00A53E91">
            <w:pPr>
              <w:spacing w:beforeLines="20" w:before="48" w:after="0" w:line="240" w:lineRule="auto"/>
              <w:rPr>
                <w:iCs/>
              </w:rPr>
            </w:pPr>
            <w:r>
              <w:rPr>
                <w:iCs/>
              </w:rPr>
              <w:t>Yes</w:t>
            </w:r>
          </w:p>
        </w:tc>
      </w:tr>
      <w:tr w:rsidR="00AC7380" w14:paraId="49ECB4F8" w14:textId="77777777" w:rsidTr="2114FA65">
        <w:trPr>
          <w:gridAfter w:val="1"/>
          <w:wAfter w:w="9" w:type="dxa"/>
          <w:cantSplit/>
          <w:trHeight w:val="323"/>
        </w:trPr>
        <w:tc>
          <w:tcPr>
            <w:tcW w:w="431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8FEBAF8" w14:textId="63A61C25" w:rsidR="00AC7380" w:rsidRPr="00991DC1" w:rsidRDefault="00AC7380" w:rsidP="00A53E91">
            <w:pPr>
              <w:spacing w:beforeLines="20" w:before="48" w:after="0" w:line="240" w:lineRule="auto"/>
            </w:pPr>
            <w:r w:rsidRPr="00991DC1">
              <w:rPr>
                <w:rFonts w:ascii="Calibri" w:hAnsi="Calibri" w:cs="Calibri"/>
              </w:rPr>
              <w:t xml:space="preserve">Prohibit displaying plan recommendations to consumers on </w:t>
            </w:r>
            <w:r>
              <w:rPr>
                <w:rFonts w:ascii="Calibri" w:hAnsi="Calibri" w:cs="Calibri"/>
              </w:rPr>
              <w:t>web broker</w:t>
            </w:r>
            <w:r w:rsidRPr="00991DC1">
              <w:rPr>
                <w:rFonts w:ascii="Calibri" w:hAnsi="Calibri" w:cs="Calibri"/>
              </w:rPr>
              <w:t xml:space="preserve"> and </w:t>
            </w:r>
            <w:r w:rsidR="00710174">
              <w:rPr>
                <w:rFonts w:ascii="Calibri" w:hAnsi="Calibri" w:cs="Calibri"/>
              </w:rPr>
              <w:t>insurance company</w:t>
            </w:r>
            <w:r w:rsidRPr="00991DC1">
              <w:rPr>
                <w:rFonts w:ascii="Calibri" w:hAnsi="Calibri" w:cs="Calibri"/>
              </w:rPr>
              <w:t xml:space="preserve"> website</w:t>
            </w:r>
            <w:r>
              <w:rPr>
                <w:rFonts w:ascii="Calibri" w:hAnsi="Calibri" w:cs="Calibri"/>
              </w:rPr>
              <w:t>s</w:t>
            </w:r>
            <w:r w:rsidRPr="00991DC1">
              <w:rPr>
                <w:rFonts w:ascii="Calibri" w:hAnsi="Calibri" w:cs="Calibri"/>
              </w:rPr>
              <w:t xml:space="preserve"> based on compensation an </w:t>
            </w:r>
            <w:r>
              <w:rPr>
                <w:rFonts w:ascii="Calibri" w:hAnsi="Calibri" w:cs="Calibri"/>
              </w:rPr>
              <w:t>agent</w:t>
            </w:r>
            <w:r w:rsidR="00893A52">
              <w:rPr>
                <w:rFonts w:ascii="Calibri" w:hAnsi="Calibri" w:cs="Calibri"/>
              </w:rPr>
              <w:t xml:space="preserve"> or</w:t>
            </w:r>
            <w:r w:rsidRPr="00991DC1">
              <w:rPr>
                <w:rFonts w:ascii="Calibri" w:hAnsi="Calibri" w:cs="Calibri"/>
              </w:rPr>
              <w:t xml:space="preserve"> </w:t>
            </w:r>
            <w:r>
              <w:rPr>
                <w:rFonts w:ascii="Calibri" w:hAnsi="Calibri" w:cs="Calibri"/>
              </w:rPr>
              <w:t>web broker</w:t>
            </w:r>
            <w:r w:rsidRPr="00991DC1">
              <w:rPr>
                <w:rFonts w:ascii="Calibri" w:hAnsi="Calibri" w:cs="Calibri"/>
              </w:rPr>
              <w:t xml:space="preserve"> receives from QHP </w:t>
            </w:r>
            <w:r w:rsidR="00710174">
              <w:rPr>
                <w:rFonts w:ascii="Calibri" w:hAnsi="Calibri" w:cs="Calibri"/>
              </w:rPr>
              <w:t>insurance companies</w:t>
            </w:r>
            <w:r w:rsidRPr="00991DC1">
              <w:rPr>
                <w:rFonts w:ascii="Calibri" w:hAnsi="Calibri" w:cs="Calibri"/>
              </w:rPr>
              <w:t>.</w:t>
            </w:r>
          </w:p>
        </w:tc>
        <w:tc>
          <w:tcPr>
            <w:tcW w:w="125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F576B85" w14:textId="77777777" w:rsidR="00AC7380" w:rsidRDefault="00AC7380" w:rsidP="00A53E91">
            <w:pPr>
              <w:spacing w:beforeLines="20" w:before="48" w:after="0" w:line="240" w:lineRule="auto"/>
              <w:rPr>
                <w:iCs/>
              </w:rPr>
            </w:pPr>
            <w:r>
              <w:rPr>
                <w:iCs/>
              </w:rPr>
              <w:t>Yes</w:t>
            </w:r>
          </w:p>
        </w:tc>
        <w:tc>
          <w:tcPr>
            <w:tcW w:w="125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7C4CCB2" w14:textId="77777777" w:rsidR="00AC7380" w:rsidRDefault="00AC7380" w:rsidP="00A53E91">
            <w:pPr>
              <w:spacing w:beforeLines="20" w:before="48" w:after="0" w:line="240" w:lineRule="auto"/>
              <w:rPr>
                <w:iCs/>
              </w:rPr>
            </w:pPr>
            <w:r>
              <w:rPr>
                <w:iCs/>
              </w:rPr>
              <w:t>Yes</w:t>
            </w:r>
          </w:p>
        </w:tc>
        <w:tc>
          <w:tcPr>
            <w:tcW w:w="125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3ED9A69" w14:textId="77777777" w:rsidR="00AC7380" w:rsidRDefault="00AC7380" w:rsidP="00A53E91">
            <w:pPr>
              <w:spacing w:beforeLines="20" w:before="48" w:after="0" w:line="240" w:lineRule="auto"/>
              <w:rPr>
                <w:iCs/>
              </w:rPr>
            </w:pPr>
            <w:r>
              <w:rPr>
                <w:iCs/>
              </w:rPr>
              <w:t>Yes</w:t>
            </w:r>
          </w:p>
        </w:tc>
        <w:tc>
          <w:tcPr>
            <w:tcW w:w="125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D498E81" w14:textId="77777777" w:rsidR="00AC7380" w:rsidRDefault="00AC7380" w:rsidP="00A53E91">
            <w:pPr>
              <w:spacing w:beforeLines="20" w:before="48" w:after="0" w:line="240" w:lineRule="auto"/>
              <w:rPr>
                <w:iCs/>
              </w:rPr>
            </w:pPr>
            <w:r>
              <w:rPr>
                <w:iCs/>
              </w:rPr>
              <w:t>Yes</w:t>
            </w:r>
          </w:p>
        </w:tc>
      </w:tr>
      <w:tr w:rsidR="00AC7380" w14:paraId="4ACFB12B" w14:textId="77777777" w:rsidTr="2114FA65">
        <w:trPr>
          <w:gridAfter w:val="1"/>
          <w:wAfter w:w="9" w:type="dxa"/>
          <w:cantSplit/>
          <w:trHeight w:val="323"/>
        </w:trPr>
        <w:tc>
          <w:tcPr>
            <w:tcW w:w="431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8E75A39" w14:textId="78C7DB97" w:rsidR="00AC7380" w:rsidRPr="00991DC1" w:rsidRDefault="00AC7380" w:rsidP="00A53E91">
            <w:pPr>
              <w:spacing w:beforeLines="20" w:before="48" w:after="0" w:line="240" w:lineRule="auto"/>
            </w:pPr>
            <w:r w:rsidRPr="04F74BE1">
              <w:rPr>
                <w:rFonts w:ascii="Calibri" w:hAnsi="Calibri" w:cs="Calibri"/>
              </w:rPr>
              <w:t>Accept appointments with all certified Georgia Access web brokers to enable consumers to select and enroll in QHPs, Catastrophic plans, and SADPs.</w:t>
            </w:r>
          </w:p>
        </w:tc>
        <w:tc>
          <w:tcPr>
            <w:tcW w:w="125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E7D0529" w14:textId="77777777" w:rsidR="00AC7380" w:rsidRDefault="00AC7380" w:rsidP="00A53E91">
            <w:pPr>
              <w:spacing w:beforeLines="20" w:before="48" w:after="0" w:line="240" w:lineRule="auto"/>
              <w:rPr>
                <w:iCs/>
              </w:rPr>
            </w:pPr>
            <w:r>
              <w:rPr>
                <w:iCs/>
              </w:rPr>
              <w:t>No</w:t>
            </w:r>
          </w:p>
        </w:tc>
        <w:tc>
          <w:tcPr>
            <w:tcW w:w="125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D3BE88A" w14:textId="77777777" w:rsidR="00AC7380" w:rsidRDefault="00AC7380" w:rsidP="00A53E91">
            <w:pPr>
              <w:spacing w:beforeLines="20" w:before="48" w:after="0" w:line="240" w:lineRule="auto"/>
              <w:rPr>
                <w:iCs/>
              </w:rPr>
            </w:pPr>
            <w:r>
              <w:rPr>
                <w:iCs/>
              </w:rPr>
              <w:t>No</w:t>
            </w:r>
          </w:p>
        </w:tc>
        <w:tc>
          <w:tcPr>
            <w:tcW w:w="125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E54A650" w14:textId="77777777" w:rsidR="00AC7380" w:rsidRDefault="00AC7380" w:rsidP="00A53E91">
            <w:pPr>
              <w:spacing w:beforeLines="20" w:before="48" w:after="0" w:line="240" w:lineRule="auto"/>
              <w:rPr>
                <w:iCs/>
              </w:rPr>
            </w:pPr>
            <w:r>
              <w:rPr>
                <w:iCs/>
              </w:rPr>
              <w:t>Yes</w:t>
            </w:r>
          </w:p>
        </w:tc>
        <w:tc>
          <w:tcPr>
            <w:tcW w:w="125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07D1D09" w14:textId="77777777" w:rsidR="00AC7380" w:rsidRDefault="00AC7380" w:rsidP="00A53E91">
            <w:pPr>
              <w:spacing w:beforeLines="20" w:before="48" w:after="0" w:line="240" w:lineRule="auto"/>
              <w:rPr>
                <w:iCs/>
              </w:rPr>
            </w:pPr>
            <w:r>
              <w:rPr>
                <w:iCs/>
              </w:rPr>
              <w:t>Yes</w:t>
            </w:r>
          </w:p>
        </w:tc>
      </w:tr>
      <w:tr w:rsidR="00AC7380" w14:paraId="78366435" w14:textId="77777777" w:rsidTr="2114FA65">
        <w:trPr>
          <w:gridAfter w:val="1"/>
          <w:wAfter w:w="9" w:type="dxa"/>
          <w:cantSplit/>
          <w:trHeight w:val="323"/>
        </w:trPr>
        <w:tc>
          <w:tcPr>
            <w:tcW w:w="431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CCCA2BA" w14:textId="7C4EBB47" w:rsidR="00AC7380" w:rsidRPr="00991DC1" w:rsidRDefault="00AC7380" w:rsidP="00A53E91">
            <w:pPr>
              <w:spacing w:beforeLines="20" w:before="48" w:after="0" w:line="240" w:lineRule="auto"/>
            </w:pPr>
            <w:r>
              <w:rPr>
                <w:rFonts w:ascii="Calibri" w:hAnsi="Calibri" w:cs="Calibri"/>
              </w:rPr>
              <w:t>Establish</w:t>
            </w:r>
            <w:r w:rsidRPr="00991DC1">
              <w:rPr>
                <w:rFonts w:ascii="Calibri" w:hAnsi="Calibri" w:cs="Calibri"/>
              </w:rPr>
              <w:t xml:space="preserve"> appointments with all </w:t>
            </w:r>
            <w:r>
              <w:rPr>
                <w:rFonts w:ascii="Calibri" w:hAnsi="Calibri" w:cs="Calibri"/>
              </w:rPr>
              <w:t xml:space="preserve">certified QHP and SADP </w:t>
            </w:r>
            <w:r w:rsidR="00710174">
              <w:rPr>
                <w:rFonts w:ascii="Calibri" w:hAnsi="Calibri" w:cs="Calibri"/>
              </w:rPr>
              <w:t>insurance companies</w:t>
            </w:r>
            <w:r w:rsidRPr="00991DC1">
              <w:rPr>
                <w:rFonts w:ascii="Calibri" w:hAnsi="Calibri" w:cs="Calibri"/>
              </w:rPr>
              <w:t xml:space="preserve"> to enable consumers to select and enroll in QHPs, </w:t>
            </w:r>
            <w:r>
              <w:rPr>
                <w:rFonts w:ascii="Calibri" w:hAnsi="Calibri" w:cs="Calibri"/>
              </w:rPr>
              <w:t>Catastrophic plans</w:t>
            </w:r>
            <w:r w:rsidRPr="00991DC1">
              <w:rPr>
                <w:rFonts w:ascii="Calibri" w:hAnsi="Calibri" w:cs="Calibri"/>
              </w:rPr>
              <w:t>, and SADP</w:t>
            </w:r>
            <w:r>
              <w:rPr>
                <w:rFonts w:ascii="Calibri" w:hAnsi="Calibri" w:cs="Calibri"/>
              </w:rPr>
              <w:t>s</w:t>
            </w:r>
            <w:r w:rsidRPr="00991DC1">
              <w:rPr>
                <w:rFonts w:ascii="Calibri" w:hAnsi="Calibri" w:cs="Calibri"/>
              </w:rPr>
              <w:t>.</w:t>
            </w:r>
          </w:p>
        </w:tc>
        <w:tc>
          <w:tcPr>
            <w:tcW w:w="125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18B86D2" w14:textId="5C6238F7" w:rsidR="00AC7380" w:rsidRDefault="00AC7380" w:rsidP="00A53E91">
            <w:pPr>
              <w:spacing w:beforeLines="20" w:before="48" w:after="0" w:line="240" w:lineRule="auto"/>
              <w:rPr>
                <w:iCs/>
              </w:rPr>
            </w:pPr>
            <w:r>
              <w:rPr>
                <w:iCs/>
              </w:rPr>
              <w:t xml:space="preserve">Web </w:t>
            </w:r>
            <w:r w:rsidR="003B05DC">
              <w:rPr>
                <w:iCs/>
              </w:rPr>
              <w:t>b</w:t>
            </w:r>
            <w:r>
              <w:rPr>
                <w:iCs/>
              </w:rPr>
              <w:t>rokers only</w:t>
            </w:r>
          </w:p>
        </w:tc>
        <w:tc>
          <w:tcPr>
            <w:tcW w:w="125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0C00A8C" w14:textId="77777777" w:rsidR="00AC7380" w:rsidRDefault="00AC7380" w:rsidP="00A53E91">
            <w:pPr>
              <w:spacing w:beforeLines="20" w:before="48" w:after="0" w:line="240" w:lineRule="auto"/>
              <w:rPr>
                <w:iCs/>
              </w:rPr>
            </w:pPr>
            <w:r>
              <w:rPr>
                <w:iCs/>
              </w:rPr>
              <w:t>Yes</w:t>
            </w:r>
          </w:p>
        </w:tc>
        <w:tc>
          <w:tcPr>
            <w:tcW w:w="125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26151D6" w14:textId="77777777" w:rsidR="00AC7380" w:rsidRDefault="00AC7380" w:rsidP="00A53E91">
            <w:pPr>
              <w:spacing w:beforeLines="20" w:before="48" w:after="0" w:line="240" w:lineRule="auto"/>
              <w:rPr>
                <w:iCs/>
              </w:rPr>
            </w:pPr>
            <w:r>
              <w:rPr>
                <w:iCs/>
              </w:rPr>
              <w:t>No</w:t>
            </w:r>
          </w:p>
        </w:tc>
        <w:tc>
          <w:tcPr>
            <w:tcW w:w="125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A8D4254" w14:textId="77777777" w:rsidR="00AC7380" w:rsidRDefault="00AC7380" w:rsidP="00A53E91">
            <w:pPr>
              <w:spacing w:beforeLines="20" w:before="48" w:after="0" w:line="240" w:lineRule="auto"/>
              <w:rPr>
                <w:iCs/>
              </w:rPr>
            </w:pPr>
            <w:r>
              <w:rPr>
                <w:iCs/>
              </w:rPr>
              <w:t>No</w:t>
            </w:r>
          </w:p>
        </w:tc>
      </w:tr>
      <w:tr w:rsidR="00AC7380" w14:paraId="782ECE77" w14:textId="77777777" w:rsidTr="2114FA65">
        <w:trPr>
          <w:gridAfter w:val="1"/>
          <w:wAfter w:w="9" w:type="dxa"/>
          <w:cantSplit/>
          <w:trHeight w:val="323"/>
        </w:trPr>
        <w:tc>
          <w:tcPr>
            <w:tcW w:w="431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9AF4155" w14:textId="689A8A78" w:rsidR="00AC7380" w:rsidRPr="00991DC1" w:rsidRDefault="07B5C7C8" w:rsidP="00A53E91">
            <w:pPr>
              <w:spacing w:beforeLines="20" w:before="48" w:after="0" w:line="240" w:lineRule="auto"/>
            </w:pPr>
            <w:r w:rsidRPr="428E3552">
              <w:rPr>
                <w:rFonts w:ascii="Calibri" w:hAnsi="Calibri" w:cs="Calibri"/>
              </w:rPr>
              <w:t>Provide the same disability support services for Georgia Access as is required by the FFE today for FFE EDE entities, w</w:t>
            </w:r>
            <w:r>
              <w:t>eb brokers</w:t>
            </w:r>
            <w:r w:rsidRPr="428E3552">
              <w:rPr>
                <w:rFonts w:ascii="Calibri" w:hAnsi="Calibri" w:cs="Calibri"/>
              </w:rPr>
              <w:t xml:space="preserve">, and </w:t>
            </w:r>
            <w:r w:rsidR="4AC45AD0" w:rsidRPr="428E3552">
              <w:rPr>
                <w:rFonts w:ascii="Calibri" w:hAnsi="Calibri" w:cs="Calibri"/>
              </w:rPr>
              <w:t>insurance companies</w:t>
            </w:r>
            <w:r w:rsidRPr="428E3552">
              <w:rPr>
                <w:rFonts w:ascii="Calibri" w:hAnsi="Calibri" w:cs="Calibri"/>
              </w:rPr>
              <w:t xml:space="preserve"> under 45 CFR 155.205.</w:t>
            </w:r>
          </w:p>
        </w:tc>
        <w:tc>
          <w:tcPr>
            <w:tcW w:w="125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36A524A" w14:textId="77777777" w:rsidR="00AC7380" w:rsidRDefault="00AC7380" w:rsidP="00A53E91">
            <w:pPr>
              <w:spacing w:beforeLines="20" w:before="48" w:after="0" w:line="240" w:lineRule="auto"/>
              <w:rPr>
                <w:iCs/>
              </w:rPr>
            </w:pPr>
            <w:r>
              <w:rPr>
                <w:iCs/>
              </w:rPr>
              <w:t>Yes</w:t>
            </w:r>
          </w:p>
        </w:tc>
        <w:tc>
          <w:tcPr>
            <w:tcW w:w="125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0E3B6C1" w14:textId="77777777" w:rsidR="00AC7380" w:rsidRDefault="00AC7380" w:rsidP="00A53E91">
            <w:pPr>
              <w:spacing w:beforeLines="20" w:before="48" w:after="0" w:line="240" w:lineRule="auto"/>
              <w:rPr>
                <w:iCs/>
              </w:rPr>
            </w:pPr>
            <w:r>
              <w:rPr>
                <w:iCs/>
              </w:rPr>
              <w:t>Yes</w:t>
            </w:r>
          </w:p>
        </w:tc>
        <w:tc>
          <w:tcPr>
            <w:tcW w:w="125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AE6C3BD" w14:textId="77777777" w:rsidR="00AC7380" w:rsidRDefault="00AC7380" w:rsidP="00A53E91">
            <w:pPr>
              <w:spacing w:beforeLines="20" w:before="48" w:after="0" w:line="240" w:lineRule="auto"/>
              <w:rPr>
                <w:iCs/>
              </w:rPr>
            </w:pPr>
            <w:r>
              <w:rPr>
                <w:iCs/>
              </w:rPr>
              <w:t>Yes</w:t>
            </w:r>
          </w:p>
        </w:tc>
        <w:tc>
          <w:tcPr>
            <w:tcW w:w="125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1EFD0EC" w14:textId="77777777" w:rsidR="00AC7380" w:rsidRDefault="00AC7380" w:rsidP="00A53E91">
            <w:pPr>
              <w:spacing w:beforeLines="20" w:before="48" w:after="0" w:line="240" w:lineRule="auto"/>
              <w:rPr>
                <w:iCs/>
              </w:rPr>
            </w:pPr>
            <w:r>
              <w:rPr>
                <w:iCs/>
              </w:rPr>
              <w:t>Yes</w:t>
            </w:r>
          </w:p>
        </w:tc>
      </w:tr>
      <w:tr w:rsidR="00AC7380" w14:paraId="06A1B28E" w14:textId="77777777" w:rsidTr="2114FA65">
        <w:trPr>
          <w:gridAfter w:val="1"/>
          <w:wAfter w:w="9" w:type="dxa"/>
          <w:cantSplit/>
          <w:trHeight w:val="323"/>
        </w:trPr>
        <w:tc>
          <w:tcPr>
            <w:tcW w:w="431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6B3982D" w14:textId="34B847A0" w:rsidR="00AC7380" w:rsidRPr="00991DC1" w:rsidRDefault="00AC7380" w:rsidP="00A53E91">
            <w:pPr>
              <w:spacing w:beforeLines="20" w:before="48" w:after="0" w:line="240" w:lineRule="auto"/>
            </w:pPr>
            <w:r w:rsidRPr="000B7389">
              <w:rPr>
                <w:rFonts w:ascii="Calibri" w:hAnsi="Calibri" w:cs="Calibri"/>
              </w:rPr>
              <w:t xml:space="preserve">Provide the same language support services for Georgia Access as is required by the FFE today for </w:t>
            </w:r>
            <w:r>
              <w:rPr>
                <w:rFonts w:ascii="Calibri" w:hAnsi="Calibri" w:cs="Calibri"/>
              </w:rPr>
              <w:t>web brokers</w:t>
            </w:r>
            <w:r w:rsidRPr="000B7389">
              <w:rPr>
                <w:rFonts w:ascii="Calibri" w:hAnsi="Calibri" w:cs="Calibri"/>
              </w:rPr>
              <w:t xml:space="preserve"> and </w:t>
            </w:r>
            <w:r w:rsidR="00710174">
              <w:rPr>
                <w:rFonts w:ascii="Calibri" w:hAnsi="Calibri" w:cs="Calibri"/>
              </w:rPr>
              <w:t>insurance companies</w:t>
            </w:r>
            <w:r w:rsidRPr="000B7389">
              <w:rPr>
                <w:rFonts w:ascii="Calibri" w:hAnsi="Calibri" w:cs="Calibri"/>
              </w:rPr>
              <w:t xml:space="preserve"> under 45 CFR 155.205. </w:t>
            </w:r>
          </w:p>
        </w:tc>
        <w:tc>
          <w:tcPr>
            <w:tcW w:w="125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2E1D462" w14:textId="77777777" w:rsidR="00AC7380" w:rsidRDefault="00AC7380" w:rsidP="00A53E91">
            <w:pPr>
              <w:spacing w:beforeLines="20" w:before="48" w:after="0" w:line="240" w:lineRule="auto"/>
              <w:rPr>
                <w:iCs/>
              </w:rPr>
            </w:pPr>
            <w:r>
              <w:rPr>
                <w:iCs/>
              </w:rPr>
              <w:t>Yes</w:t>
            </w:r>
          </w:p>
        </w:tc>
        <w:tc>
          <w:tcPr>
            <w:tcW w:w="125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C9D8BDE" w14:textId="77777777" w:rsidR="00AC7380" w:rsidRDefault="00AC7380" w:rsidP="00A53E91">
            <w:pPr>
              <w:spacing w:beforeLines="20" w:before="48" w:after="0" w:line="240" w:lineRule="auto"/>
              <w:rPr>
                <w:iCs/>
              </w:rPr>
            </w:pPr>
            <w:r>
              <w:rPr>
                <w:iCs/>
              </w:rPr>
              <w:t>Yes</w:t>
            </w:r>
          </w:p>
        </w:tc>
        <w:tc>
          <w:tcPr>
            <w:tcW w:w="125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30B9C70" w14:textId="77777777" w:rsidR="00AC7380" w:rsidRDefault="00AC7380" w:rsidP="00A53E91">
            <w:pPr>
              <w:spacing w:beforeLines="20" w:before="48" w:after="0" w:line="240" w:lineRule="auto"/>
              <w:rPr>
                <w:iCs/>
              </w:rPr>
            </w:pPr>
            <w:r>
              <w:rPr>
                <w:iCs/>
              </w:rPr>
              <w:t>Yes</w:t>
            </w:r>
          </w:p>
        </w:tc>
        <w:tc>
          <w:tcPr>
            <w:tcW w:w="125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F7D57E4" w14:textId="77777777" w:rsidR="00AC7380" w:rsidRDefault="00AC7380" w:rsidP="00A53E91">
            <w:pPr>
              <w:spacing w:beforeLines="20" w:before="48" w:after="0" w:line="240" w:lineRule="auto"/>
              <w:rPr>
                <w:iCs/>
              </w:rPr>
            </w:pPr>
            <w:r>
              <w:rPr>
                <w:iCs/>
              </w:rPr>
              <w:t>Yes</w:t>
            </w:r>
          </w:p>
        </w:tc>
      </w:tr>
      <w:tr w:rsidR="00AC7380" w14:paraId="4C00F9D9" w14:textId="77777777" w:rsidTr="2114FA65">
        <w:trPr>
          <w:gridAfter w:val="1"/>
          <w:wAfter w:w="9" w:type="dxa"/>
          <w:cantSplit/>
          <w:trHeight w:val="323"/>
        </w:trPr>
        <w:tc>
          <w:tcPr>
            <w:tcW w:w="431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44B9448" w14:textId="72E5C5B0" w:rsidR="00AC7380" w:rsidRPr="00991DC1" w:rsidRDefault="00AC7380" w:rsidP="00A53E91">
            <w:pPr>
              <w:spacing w:beforeLines="20" w:before="48" w:after="0" w:line="240" w:lineRule="auto"/>
            </w:pPr>
            <w:r w:rsidRPr="001853BF">
              <w:rPr>
                <w:rFonts w:ascii="Calibri" w:hAnsi="Calibri" w:cs="Calibri"/>
              </w:rPr>
              <w:lastRenderedPageBreak/>
              <w:t xml:space="preserve">Provide website content and UI/QHP application in Spanish consistent with the requirements outlined in 45 CFR 155.205.                                                                            Georgia's Spanish-speaking Limited English Proficient (LEP) population does not currently meet </w:t>
            </w:r>
            <w:r>
              <w:rPr>
                <w:rFonts w:ascii="Calibri" w:hAnsi="Calibri" w:cs="Calibri"/>
              </w:rPr>
              <w:t xml:space="preserve">the federal </w:t>
            </w:r>
            <w:r w:rsidRPr="001853BF">
              <w:rPr>
                <w:rFonts w:ascii="Calibri" w:hAnsi="Calibri" w:cs="Calibri"/>
              </w:rPr>
              <w:t>10% population threshold for Spanish translation requirements. However, Georgia Access</w:t>
            </w:r>
            <w:r>
              <w:rPr>
                <w:rFonts w:ascii="Calibri" w:hAnsi="Calibri" w:cs="Calibri"/>
              </w:rPr>
              <w:t xml:space="preserve"> requires EDE Partners</w:t>
            </w:r>
            <w:r w:rsidRPr="001853BF">
              <w:rPr>
                <w:rFonts w:ascii="Calibri" w:hAnsi="Calibri" w:cs="Calibri"/>
              </w:rPr>
              <w:t xml:space="preserve"> to comply with current federal regulations </w:t>
            </w:r>
            <w:r w:rsidRPr="00C46912">
              <w:rPr>
                <w:rFonts w:ascii="Calibri" w:hAnsi="Calibri" w:cs="Calibri"/>
              </w:rPr>
              <w:t>as</w:t>
            </w:r>
            <w:r w:rsidRPr="001853BF">
              <w:rPr>
                <w:rFonts w:ascii="Calibri" w:hAnsi="Calibri" w:cs="Calibri"/>
              </w:rPr>
              <w:t xml:space="preserve"> </w:t>
            </w:r>
            <w:r>
              <w:rPr>
                <w:rFonts w:ascii="Calibri" w:hAnsi="Calibri" w:cs="Calibri"/>
              </w:rPr>
              <w:t>though</w:t>
            </w:r>
            <w:r w:rsidRPr="001853BF">
              <w:rPr>
                <w:rFonts w:ascii="Calibri" w:hAnsi="Calibri" w:cs="Calibri"/>
              </w:rPr>
              <w:t xml:space="preserve"> Georgia’s Spanish-speaking LEP population </w:t>
            </w:r>
            <w:r>
              <w:rPr>
                <w:rFonts w:ascii="Calibri" w:hAnsi="Calibri" w:cs="Calibri"/>
              </w:rPr>
              <w:t>were</w:t>
            </w:r>
            <w:r w:rsidRPr="001853BF">
              <w:rPr>
                <w:rFonts w:ascii="Calibri" w:hAnsi="Calibri" w:cs="Calibri"/>
              </w:rPr>
              <w:t xml:space="preserve"> 10%.</w:t>
            </w:r>
          </w:p>
        </w:tc>
        <w:tc>
          <w:tcPr>
            <w:tcW w:w="125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2844574" w14:textId="77777777" w:rsidR="00AC7380" w:rsidRDefault="00AC7380" w:rsidP="00A53E91">
            <w:pPr>
              <w:spacing w:beforeLines="20" w:before="48" w:after="0" w:line="240" w:lineRule="auto"/>
              <w:rPr>
                <w:iCs/>
              </w:rPr>
            </w:pPr>
            <w:r>
              <w:rPr>
                <w:iCs/>
              </w:rPr>
              <w:t>Yes</w:t>
            </w:r>
          </w:p>
        </w:tc>
        <w:tc>
          <w:tcPr>
            <w:tcW w:w="125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7694EEE" w14:textId="77777777" w:rsidR="00AC7380" w:rsidRDefault="00AC7380" w:rsidP="00A53E91">
            <w:pPr>
              <w:spacing w:beforeLines="20" w:before="48" w:after="0" w:line="240" w:lineRule="auto"/>
              <w:rPr>
                <w:iCs/>
              </w:rPr>
            </w:pPr>
            <w:r>
              <w:rPr>
                <w:iCs/>
              </w:rPr>
              <w:t>No</w:t>
            </w:r>
          </w:p>
        </w:tc>
        <w:tc>
          <w:tcPr>
            <w:tcW w:w="125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E05C77E" w14:textId="77777777" w:rsidR="00AC7380" w:rsidRDefault="00AC7380" w:rsidP="00A53E91">
            <w:pPr>
              <w:spacing w:beforeLines="20" w:before="48" w:after="0" w:line="240" w:lineRule="auto"/>
              <w:rPr>
                <w:iCs/>
              </w:rPr>
            </w:pPr>
            <w:r>
              <w:rPr>
                <w:iCs/>
              </w:rPr>
              <w:t>No</w:t>
            </w:r>
          </w:p>
        </w:tc>
        <w:tc>
          <w:tcPr>
            <w:tcW w:w="125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EC30E1A" w14:textId="77777777" w:rsidR="00AC7380" w:rsidRDefault="00AC7380" w:rsidP="00A53E91">
            <w:pPr>
              <w:spacing w:beforeLines="20" w:before="48" w:after="0" w:line="240" w:lineRule="auto"/>
              <w:rPr>
                <w:iCs/>
              </w:rPr>
            </w:pPr>
            <w:r>
              <w:rPr>
                <w:iCs/>
              </w:rPr>
              <w:t>No</w:t>
            </w:r>
          </w:p>
        </w:tc>
      </w:tr>
      <w:tr w:rsidR="00AC7380" w14:paraId="2814BAA8" w14:textId="77777777" w:rsidTr="2114FA65">
        <w:trPr>
          <w:gridAfter w:val="1"/>
          <w:wAfter w:w="9" w:type="dxa"/>
          <w:cantSplit/>
          <w:trHeight w:val="323"/>
        </w:trPr>
        <w:tc>
          <w:tcPr>
            <w:tcW w:w="431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C7DE427" w14:textId="3A7A0F97" w:rsidR="00AC7380" w:rsidRPr="00991DC1" w:rsidRDefault="00AC7380" w:rsidP="00A53E91">
            <w:pPr>
              <w:spacing w:beforeLines="20" w:before="48" w:after="0" w:line="240" w:lineRule="auto"/>
            </w:pPr>
            <w:r w:rsidRPr="007E55B7">
              <w:rPr>
                <w:rFonts w:ascii="Calibri" w:hAnsi="Calibri" w:cs="Calibri"/>
              </w:rPr>
              <w:t xml:space="preserve">Confirm that their </w:t>
            </w:r>
            <w:r>
              <w:rPr>
                <w:rFonts w:ascii="Calibri" w:hAnsi="Calibri" w:cs="Calibri"/>
              </w:rPr>
              <w:t>p</w:t>
            </w:r>
            <w:r w:rsidRPr="007E55B7">
              <w:rPr>
                <w:rFonts w:ascii="Calibri" w:hAnsi="Calibri" w:cs="Calibri"/>
              </w:rPr>
              <w:t xml:space="preserve">rimary </w:t>
            </w:r>
            <w:r>
              <w:rPr>
                <w:rFonts w:ascii="Calibri" w:hAnsi="Calibri" w:cs="Calibri"/>
              </w:rPr>
              <w:t>e</w:t>
            </w:r>
            <w:r w:rsidRPr="007E55B7">
              <w:rPr>
                <w:rFonts w:ascii="Calibri" w:hAnsi="Calibri" w:cs="Calibri"/>
              </w:rPr>
              <w:t>ntity provides their UI/QHP application in Spanish consistent with the requirement outlined in 45 CFR 155.205.</w:t>
            </w:r>
          </w:p>
        </w:tc>
        <w:tc>
          <w:tcPr>
            <w:tcW w:w="125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4A6A2B4" w14:textId="77777777" w:rsidR="00AC7380" w:rsidRDefault="00AC7380" w:rsidP="00A53E91">
            <w:pPr>
              <w:spacing w:beforeLines="20" w:before="48" w:after="0" w:line="240" w:lineRule="auto"/>
              <w:rPr>
                <w:iCs/>
              </w:rPr>
            </w:pPr>
            <w:r>
              <w:rPr>
                <w:iCs/>
              </w:rPr>
              <w:t>No</w:t>
            </w:r>
          </w:p>
        </w:tc>
        <w:tc>
          <w:tcPr>
            <w:tcW w:w="125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7BCBADD" w14:textId="77777777" w:rsidR="00AC7380" w:rsidRDefault="00AC7380" w:rsidP="00A53E91">
            <w:pPr>
              <w:spacing w:beforeLines="20" w:before="48" w:after="0" w:line="240" w:lineRule="auto"/>
              <w:rPr>
                <w:iCs/>
              </w:rPr>
            </w:pPr>
            <w:r>
              <w:rPr>
                <w:iCs/>
              </w:rPr>
              <w:t>Yes</w:t>
            </w:r>
          </w:p>
        </w:tc>
        <w:tc>
          <w:tcPr>
            <w:tcW w:w="125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E59AA91" w14:textId="77777777" w:rsidR="00AC7380" w:rsidRDefault="00AC7380" w:rsidP="00A53E91">
            <w:pPr>
              <w:spacing w:beforeLines="20" w:before="48" w:after="0" w:line="240" w:lineRule="auto"/>
              <w:rPr>
                <w:iCs/>
              </w:rPr>
            </w:pPr>
            <w:r>
              <w:rPr>
                <w:iCs/>
              </w:rPr>
              <w:t>Yes</w:t>
            </w:r>
          </w:p>
        </w:tc>
        <w:tc>
          <w:tcPr>
            <w:tcW w:w="125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0F1674C" w14:textId="77777777" w:rsidR="00AC7380" w:rsidRDefault="00AC7380" w:rsidP="00A53E91">
            <w:pPr>
              <w:spacing w:beforeLines="20" w:before="48" w:after="0" w:line="240" w:lineRule="auto"/>
              <w:rPr>
                <w:iCs/>
              </w:rPr>
            </w:pPr>
            <w:r>
              <w:rPr>
                <w:iCs/>
              </w:rPr>
              <w:t>Yes</w:t>
            </w:r>
          </w:p>
        </w:tc>
      </w:tr>
      <w:tr w:rsidR="00AC7380" w14:paraId="5B265102" w14:textId="77777777" w:rsidTr="2114FA65">
        <w:trPr>
          <w:gridAfter w:val="1"/>
          <w:wAfter w:w="9" w:type="dxa"/>
          <w:cantSplit/>
          <w:trHeight w:val="323"/>
        </w:trPr>
        <w:tc>
          <w:tcPr>
            <w:tcW w:w="431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E499606" w14:textId="5C4C9C91" w:rsidR="00AC7380" w:rsidRPr="00991DC1" w:rsidRDefault="00AC7380" w:rsidP="00A53E91">
            <w:pPr>
              <w:spacing w:beforeLines="20" w:before="48" w:after="0" w:line="240" w:lineRule="auto"/>
            </w:pPr>
            <w:r w:rsidRPr="009874AB">
              <w:rPr>
                <w:rFonts w:ascii="Calibri" w:hAnsi="Calibri" w:cs="Calibri"/>
              </w:rPr>
              <w:t xml:space="preserve">Confirm that their </w:t>
            </w:r>
            <w:r>
              <w:rPr>
                <w:rFonts w:ascii="Calibri" w:hAnsi="Calibri" w:cs="Calibri"/>
              </w:rPr>
              <w:t>p</w:t>
            </w:r>
            <w:r w:rsidRPr="009874AB">
              <w:rPr>
                <w:rFonts w:ascii="Calibri" w:hAnsi="Calibri" w:cs="Calibri"/>
              </w:rPr>
              <w:t xml:space="preserve">rimary </w:t>
            </w:r>
            <w:r>
              <w:rPr>
                <w:rFonts w:ascii="Calibri" w:hAnsi="Calibri" w:cs="Calibri"/>
              </w:rPr>
              <w:t>e</w:t>
            </w:r>
            <w:r w:rsidRPr="009874AB">
              <w:rPr>
                <w:rFonts w:ascii="Calibri" w:hAnsi="Calibri" w:cs="Calibri"/>
              </w:rPr>
              <w:t>ntity provides website content in Spanish consistent with the requirements outlined in 45 CFR 155.205.</w:t>
            </w:r>
          </w:p>
        </w:tc>
        <w:tc>
          <w:tcPr>
            <w:tcW w:w="125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80D399A" w14:textId="77777777" w:rsidR="00AC7380" w:rsidRDefault="00AC7380" w:rsidP="00A53E91">
            <w:pPr>
              <w:spacing w:beforeLines="20" w:before="48" w:after="0" w:line="240" w:lineRule="auto"/>
              <w:rPr>
                <w:iCs/>
              </w:rPr>
            </w:pPr>
            <w:r>
              <w:rPr>
                <w:iCs/>
              </w:rPr>
              <w:t>No</w:t>
            </w:r>
          </w:p>
        </w:tc>
        <w:tc>
          <w:tcPr>
            <w:tcW w:w="125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E677F1F" w14:textId="77777777" w:rsidR="00AC7380" w:rsidRDefault="00AC7380" w:rsidP="00A53E91">
            <w:pPr>
              <w:spacing w:beforeLines="20" w:before="48" w:after="0" w:line="240" w:lineRule="auto"/>
              <w:rPr>
                <w:iCs/>
              </w:rPr>
            </w:pPr>
            <w:r>
              <w:rPr>
                <w:iCs/>
              </w:rPr>
              <w:t>Yes</w:t>
            </w:r>
          </w:p>
        </w:tc>
        <w:tc>
          <w:tcPr>
            <w:tcW w:w="125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3848841" w14:textId="77777777" w:rsidR="00AC7380" w:rsidRDefault="00AC7380" w:rsidP="00A53E91">
            <w:pPr>
              <w:spacing w:beforeLines="20" w:before="48" w:after="0" w:line="240" w:lineRule="auto"/>
              <w:rPr>
                <w:iCs/>
              </w:rPr>
            </w:pPr>
            <w:r>
              <w:rPr>
                <w:iCs/>
              </w:rPr>
              <w:t>Yes</w:t>
            </w:r>
          </w:p>
        </w:tc>
        <w:tc>
          <w:tcPr>
            <w:tcW w:w="125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E6BDDBD" w14:textId="77777777" w:rsidR="00AC7380" w:rsidRDefault="00AC7380" w:rsidP="00A53E91">
            <w:pPr>
              <w:spacing w:beforeLines="20" w:before="48" w:after="0" w:line="240" w:lineRule="auto"/>
              <w:rPr>
                <w:iCs/>
              </w:rPr>
            </w:pPr>
            <w:r>
              <w:rPr>
                <w:iCs/>
              </w:rPr>
              <w:t>Yes</w:t>
            </w:r>
          </w:p>
        </w:tc>
      </w:tr>
      <w:tr w:rsidR="00AC7380" w14:paraId="3912F687" w14:textId="77777777" w:rsidTr="2114FA65">
        <w:trPr>
          <w:gridAfter w:val="1"/>
          <w:wAfter w:w="9" w:type="dxa"/>
          <w:cantSplit/>
          <w:trHeight w:val="323"/>
        </w:trPr>
        <w:tc>
          <w:tcPr>
            <w:tcW w:w="431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7FEA027" w14:textId="7D9C90C0" w:rsidR="00AC7380" w:rsidRPr="00991DC1" w:rsidRDefault="00766052" w:rsidP="00A53E91">
            <w:pPr>
              <w:spacing w:beforeLines="20" w:before="48" w:after="0" w:line="240" w:lineRule="auto"/>
            </w:pPr>
            <w:r>
              <w:rPr>
                <w:rFonts w:ascii="Calibri" w:hAnsi="Calibri" w:cs="Calibri"/>
              </w:rPr>
              <w:t>Do not</w:t>
            </w:r>
            <w:r w:rsidR="00AC7380" w:rsidRPr="00991DC1">
              <w:rPr>
                <w:rFonts w:ascii="Calibri" w:hAnsi="Calibri" w:cs="Calibri"/>
              </w:rPr>
              <w:t xml:space="preserve"> assess fees on consumers to use their platform to shop for and enroll in QHPs.</w:t>
            </w:r>
          </w:p>
        </w:tc>
        <w:tc>
          <w:tcPr>
            <w:tcW w:w="125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E52DD9F" w14:textId="325E008F" w:rsidR="00AC7380" w:rsidRDefault="00AC7380" w:rsidP="00A53E91">
            <w:pPr>
              <w:spacing w:beforeLines="20" w:before="48" w:after="0" w:line="240" w:lineRule="auto"/>
              <w:rPr>
                <w:iCs/>
              </w:rPr>
            </w:pPr>
            <w:r>
              <w:rPr>
                <w:iCs/>
              </w:rPr>
              <w:t xml:space="preserve">Web </w:t>
            </w:r>
            <w:r w:rsidR="003B05DC">
              <w:rPr>
                <w:iCs/>
              </w:rPr>
              <w:t>b</w:t>
            </w:r>
            <w:r>
              <w:rPr>
                <w:iCs/>
              </w:rPr>
              <w:t>rokers only</w:t>
            </w:r>
          </w:p>
        </w:tc>
        <w:tc>
          <w:tcPr>
            <w:tcW w:w="125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C0CF45A" w14:textId="77777777" w:rsidR="00AC7380" w:rsidRDefault="00AC7380" w:rsidP="00A53E91">
            <w:pPr>
              <w:spacing w:beforeLines="20" w:before="48" w:after="0" w:line="240" w:lineRule="auto"/>
              <w:rPr>
                <w:iCs/>
              </w:rPr>
            </w:pPr>
            <w:r>
              <w:rPr>
                <w:iCs/>
              </w:rPr>
              <w:t>Yes</w:t>
            </w:r>
          </w:p>
        </w:tc>
        <w:tc>
          <w:tcPr>
            <w:tcW w:w="125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807077F" w14:textId="77777777" w:rsidR="00AC7380" w:rsidRDefault="00AC7380" w:rsidP="00A53E91">
            <w:pPr>
              <w:spacing w:beforeLines="20" w:before="48" w:after="0" w:line="240" w:lineRule="auto"/>
              <w:rPr>
                <w:iCs/>
              </w:rPr>
            </w:pPr>
            <w:r>
              <w:rPr>
                <w:iCs/>
              </w:rPr>
              <w:t>Yes</w:t>
            </w:r>
          </w:p>
        </w:tc>
        <w:tc>
          <w:tcPr>
            <w:tcW w:w="125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0B77512" w14:textId="77777777" w:rsidR="00AC7380" w:rsidRDefault="00AC7380" w:rsidP="00A53E91">
            <w:pPr>
              <w:spacing w:beforeLines="20" w:before="48" w:after="0" w:line="240" w:lineRule="auto"/>
              <w:rPr>
                <w:iCs/>
              </w:rPr>
            </w:pPr>
            <w:r>
              <w:rPr>
                <w:iCs/>
              </w:rPr>
              <w:t>Yes</w:t>
            </w:r>
          </w:p>
        </w:tc>
      </w:tr>
      <w:tr w:rsidR="00AC7380" w14:paraId="553FF76D" w14:textId="77777777" w:rsidTr="2114FA65">
        <w:trPr>
          <w:gridAfter w:val="1"/>
          <w:wAfter w:w="9" w:type="dxa"/>
          <w:cantSplit/>
          <w:trHeight w:val="323"/>
        </w:trPr>
        <w:tc>
          <w:tcPr>
            <w:tcW w:w="431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7885B5B" w14:textId="77777777" w:rsidR="00AC7380" w:rsidRPr="00991DC1" w:rsidRDefault="00AC7380" w:rsidP="00A53E91">
            <w:pPr>
              <w:spacing w:beforeLines="20" w:before="48" w:after="0" w:line="240" w:lineRule="auto"/>
            </w:pPr>
            <w:r w:rsidRPr="00991DC1">
              <w:rPr>
                <w:rFonts w:ascii="Calibri" w:hAnsi="Calibri" w:cs="Calibri"/>
              </w:rPr>
              <w:t xml:space="preserve">Participate in ongoing Georgia Access program, technical, and operational discussions with the </w:t>
            </w:r>
            <w:r>
              <w:rPr>
                <w:rFonts w:ascii="Calibri" w:hAnsi="Calibri" w:cs="Calibri"/>
              </w:rPr>
              <w:t>SBE</w:t>
            </w:r>
            <w:r w:rsidRPr="00991DC1">
              <w:rPr>
                <w:rFonts w:ascii="Calibri" w:hAnsi="Calibri" w:cs="Calibri"/>
              </w:rPr>
              <w:t xml:space="preserve"> (e</w:t>
            </w:r>
            <w:r>
              <w:rPr>
                <w:rFonts w:ascii="Calibri" w:hAnsi="Calibri" w:cs="Calibri"/>
              </w:rPr>
              <w:t>.g</w:t>
            </w:r>
            <w:r w:rsidRPr="00991DC1">
              <w:rPr>
                <w:rFonts w:ascii="Calibri" w:hAnsi="Calibri" w:cs="Calibri"/>
              </w:rPr>
              <w:t xml:space="preserve">., discuss updates, raise issues, and provide feedback). </w:t>
            </w:r>
          </w:p>
        </w:tc>
        <w:tc>
          <w:tcPr>
            <w:tcW w:w="125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5258262" w14:textId="77777777" w:rsidR="00AC7380" w:rsidRDefault="00AC7380" w:rsidP="00A53E91">
            <w:pPr>
              <w:spacing w:beforeLines="20" w:before="48" w:after="0" w:line="240" w:lineRule="auto"/>
              <w:rPr>
                <w:iCs/>
              </w:rPr>
            </w:pPr>
            <w:r>
              <w:rPr>
                <w:iCs/>
              </w:rPr>
              <w:t>Yes</w:t>
            </w:r>
          </w:p>
        </w:tc>
        <w:tc>
          <w:tcPr>
            <w:tcW w:w="125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B07B8A6" w14:textId="77777777" w:rsidR="00AC7380" w:rsidRDefault="00AC7380" w:rsidP="00A53E91">
            <w:pPr>
              <w:spacing w:beforeLines="20" w:before="48" w:after="0" w:line="240" w:lineRule="auto"/>
              <w:rPr>
                <w:iCs/>
              </w:rPr>
            </w:pPr>
            <w:r>
              <w:rPr>
                <w:iCs/>
              </w:rPr>
              <w:t>Yes</w:t>
            </w:r>
          </w:p>
        </w:tc>
        <w:tc>
          <w:tcPr>
            <w:tcW w:w="125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243AA58" w14:textId="77777777" w:rsidR="00AC7380" w:rsidRDefault="00AC7380" w:rsidP="00A53E91">
            <w:pPr>
              <w:spacing w:beforeLines="20" w:before="48" w:after="0" w:line="240" w:lineRule="auto"/>
              <w:rPr>
                <w:iCs/>
              </w:rPr>
            </w:pPr>
            <w:r>
              <w:rPr>
                <w:iCs/>
              </w:rPr>
              <w:t>Yes</w:t>
            </w:r>
          </w:p>
        </w:tc>
        <w:tc>
          <w:tcPr>
            <w:tcW w:w="125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8EADD7E" w14:textId="77777777" w:rsidR="00AC7380" w:rsidRDefault="00AC7380" w:rsidP="00A53E91">
            <w:pPr>
              <w:spacing w:beforeLines="20" w:before="48" w:after="0" w:line="240" w:lineRule="auto"/>
              <w:rPr>
                <w:iCs/>
              </w:rPr>
            </w:pPr>
            <w:r>
              <w:rPr>
                <w:iCs/>
              </w:rPr>
              <w:t>Yes</w:t>
            </w:r>
          </w:p>
        </w:tc>
      </w:tr>
      <w:tr w:rsidR="00AC7380" w14:paraId="661FF064" w14:textId="77777777" w:rsidTr="2114FA65">
        <w:trPr>
          <w:gridAfter w:val="1"/>
          <w:wAfter w:w="9" w:type="dxa"/>
          <w:cantSplit/>
          <w:trHeight w:val="323"/>
        </w:trPr>
        <w:tc>
          <w:tcPr>
            <w:tcW w:w="431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203E379" w14:textId="77777777" w:rsidR="00AC7380" w:rsidRPr="00991DC1" w:rsidRDefault="00AC7380" w:rsidP="00A53E91">
            <w:pPr>
              <w:spacing w:beforeLines="20" w:before="48" w:after="0" w:line="240" w:lineRule="auto"/>
            </w:pPr>
            <w:r w:rsidRPr="00991DC1">
              <w:rPr>
                <w:rFonts w:ascii="Calibri" w:hAnsi="Calibri" w:cs="Calibri"/>
              </w:rPr>
              <w:t xml:space="preserve">Actively resolve all issues identified through </w:t>
            </w:r>
            <w:r>
              <w:rPr>
                <w:rFonts w:ascii="Calibri" w:hAnsi="Calibri" w:cs="Calibri"/>
              </w:rPr>
              <w:t>State</w:t>
            </w:r>
            <w:r w:rsidRPr="00991DC1">
              <w:rPr>
                <w:rFonts w:ascii="Calibri" w:hAnsi="Calibri" w:cs="Calibri"/>
              </w:rPr>
              <w:t xml:space="preserve"> audits. </w:t>
            </w:r>
          </w:p>
        </w:tc>
        <w:tc>
          <w:tcPr>
            <w:tcW w:w="125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A3A4863" w14:textId="77777777" w:rsidR="00AC7380" w:rsidRDefault="00AC7380" w:rsidP="00A53E91">
            <w:pPr>
              <w:spacing w:beforeLines="20" w:before="48" w:after="0" w:line="240" w:lineRule="auto"/>
              <w:rPr>
                <w:iCs/>
              </w:rPr>
            </w:pPr>
            <w:r>
              <w:rPr>
                <w:iCs/>
              </w:rPr>
              <w:t>Yes</w:t>
            </w:r>
          </w:p>
        </w:tc>
        <w:tc>
          <w:tcPr>
            <w:tcW w:w="125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8F7D6FA" w14:textId="77777777" w:rsidR="00AC7380" w:rsidRDefault="00AC7380" w:rsidP="00A53E91">
            <w:pPr>
              <w:spacing w:beforeLines="20" w:before="48" w:after="0" w:line="240" w:lineRule="auto"/>
              <w:rPr>
                <w:iCs/>
              </w:rPr>
            </w:pPr>
            <w:r>
              <w:rPr>
                <w:iCs/>
              </w:rPr>
              <w:t>Yes</w:t>
            </w:r>
          </w:p>
        </w:tc>
        <w:tc>
          <w:tcPr>
            <w:tcW w:w="125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6FF2CEF" w14:textId="77777777" w:rsidR="00AC7380" w:rsidRDefault="00AC7380" w:rsidP="00A53E91">
            <w:pPr>
              <w:spacing w:beforeLines="20" w:before="48" w:after="0" w:line="240" w:lineRule="auto"/>
              <w:rPr>
                <w:iCs/>
              </w:rPr>
            </w:pPr>
            <w:r>
              <w:rPr>
                <w:iCs/>
              </w:rPr>
              <w:t>Yes</w:t>
            </w:r>
          </w:p>
        </w:tc>
        <w:tc>
          <w:tcPr>
            <w:tcW w:w="125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66B86D3" w14:textId="77777777" w:rsidR="00AC7380" w:rsidRDefault="00AC7380" w:rsidP="00A53E91">
            <w:pPr>
              <w:spacing w:beforeLines="20" w:before="48" w:after="0" w:line="240" w:lineRule="auto"/>
              <w:rPr>
                <w:iCs/>
              </w:rPr>
            </w:pPr>
            <w:r>
              <w:rPr>
                <w:iCs/>
              </w:rPr>
              <w:t>Yes</w:t>
            </w:r>
          </w:p>
        </w:tc>
      </w:tr>
      <w:tr w:rsidR="00AC7380" w14:paraId="7CBFF51F" w14:textId="77777777" w:rsidTr="2114FA65">
        <w:trPr>
          <w:gridAfter w:val="1"/>
          <w:wAfter w:w="9" w:type="dxa"/>
          <w:cantSplit/>
          <w:trHeight w:val="323"/>
        </w:trPr>
        <w:tc>
          <w:tcPr>
            <w:tcW w:w="431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2561ED1" w14:textId="7B468B6A" w:rsidR="00AC7380" w:rsidRPr="00991DC1" w:rsidRDefault="00AC7380" w:rsidP="00A53E91">
            <w:pPr>
              <w:spacing w:beforeLines="20" w:before="48" w:after="0" w:line="240" w:lineRule="auto"/>
            </w:pPr>
            <w:r w:rsidRPr="00991DC1">
              <w:rPr>
                <w:rFonts w:ascii="Calibri" w:hAnsi="Calibri" w:cs="Calibri"/>
              </w:rPr>
              <w:t>Provide monthly reports on consumer support metrics</w:t>
            </w:r>
            <w:r w:rsidR="00476CF1">
              <w:rPr>
                <w:rFonts w:ascii="Calibri" w:hAnsi="Calibri" w:cs="Calibri"/>
              </w:rPr>
              <w:t>, as defined by the SBE</w:t>
            </w:r>
            <w:r w:rsidRPr="00991DC1">
              <w:rPr>
                <w:rFonts w:ascii="Calibri" w:hAnsi="Calibri" w:cs="Calibri"/>
              </w:rPr>
              <w:t>.</w:t>
            </w:r>
          </w:p>
        </w:tc>
        <w:tc>
          <w:tcPr>
            <w:tcW w:w="125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CE926BE" w14:textId="77777777" w:rsidR="00AC7380" w:rsidRDefault="00AC7380" w:rsidP="00A53E91">
            <w:pPr>
              <w:spacing w:beforeLines="20" w:before="48" w:after="0" w:line="240" w:lineRule="auto"/>
              <w:rPr>
                <w:iCs/>
              </w:rPr>
            </w:pPr>
            <w:r>
              <w:rPr>
                <w:iCs/>
              </w:rPr>
              <w:t>Yes</w:t>
            </w:r>
          </w:p>
        </w:tc>
        <w:tc>
          <w:tcPr>
            <w:tcW w:w="125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78039BD" w14:textId="77777777" w:rsidR="00AC7380" w:rsidRDefault="00AC7380" w:rsidP="00A53E91">
            <w:pPr>
              <w:spacing w:beforeLines="20" w:before="48" w:after="0" w:line="240" w:lineRule="auto"/>
              <w:rPr>
                <w:iCs/>
              </w:rPr>
            </w:pPr>
            <w:r>
              <w:rPr>
                <w:iCs/>
              </w:rPr>
              <w:t>Yes</w:t>
            </w:r>
          </w:p>
        </w:tc>
        <w:tc>
          <w:tcPr>
            <w:tcW w:w="125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D33E519" w14:textId="77777777" w:rsidR="00AC7380" w:rsidRDefault="00AC7380" w:rsidP="00A53E91">
            <w:pPr>
              <w:spacing w:beforeLines="20" w:before="48" w:after="0" w:line="240" w:lineRule="auto"/>
              <w:rPr>
                <w:iCs/>
              </w:rPr>
            </w:pPr>
            <w:r>
              <w:rPr>
                <w:iCs/>
              </w:rPr>
              <w:t>Yes</w:t>
            </w:r>
          </w:p>
        </w:tc>
        <w:tc>
          <w:tcPr>
            <w:tcW w:w="125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AE8B6F6" w14:textId="77777777" w:rsidR="00AC7380" w:rsidRDefault="00AC7380" w:rsidP="00A53E91">
            <w:pPr>
              <w:spacing w:beforeLines="20" w:before="48" w:after="0" w:line="240" w:lineRule="auto"/>
              <w:rPr>
                <w:iCs/>
              </w:rPr>
            </w:pPr>
            <w:r>
              <w:rPr>
                <w:iCs/>
              </w:rPr>
              <w:t>Yes</w:t>
            </w:r>
          </w:p>
        </w:tc>
      </w:tr>
      <w:tr w:rsidR="00AC7380" w14:paraId="5B2E16B2" w14:textId="77777777" w:rsidTr="2114FA65">
        <w:trPr>
          <w:gridAfter w:val="1"/>
          <w:wAfter w:w="9" w:type="dxa"/>
          <w:cantSplit/>
          <w:trHeight w:val="323"/>
        </w:trPr>
        <w:tc>
          <w:tcPr>
            <w:tcW w:w="431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B2BACE8" w14:textId="0AAC9F3C" w:rsidR="00AC7380" w:rsidRPr="00991DC1" w:rsidRDefault="00AC7380" w:rsidP="00A53E91">
            <w:pPr>
              <w:spacing w:beforeLines="20" w:before="48" w:after="0" w:line="240" w:lineRule="auto"/>
            </w:pPr>
            <w:r w:rsidRPr="00991DC1">
              <w:rPr>
                <w:rFonts w:ascii="Calibri" w:hAnsi="Calibri" w:cs="Calibri"/>
              </w:rPr>
              <w:t>Provide monthly reports on website traffic</w:t>
            </w:r>
            <w:r w:rsidR="00476CF1">
              <w:rPr>
                <w:rFonts w:ascii="Calibri" w:hAnsi="Calibri" w:cs="Calibri"/>
              </w:rPr>
              <w:t>, as defined by the SBE</w:t>
            </w:r>
            <w:r w:rsidRPr="00991DC1">
              <w:rPr>
                <w:rFonts w:ascii="Calibri" w:hAnsi="Calibri" w:cs="Calibri"/>
              </w:rPr>
              <w:t>.</w:t>
            </w:r>
          </w:p>
        </w:tc>
        <w:tc>
          <w:tcPr>
            <w:tcW w:w="125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59529DC" w14:textId="77777777" w:rsidR="00AC7380" w:rsidRDefault="00AC7380" w:rsidP="00A53E91">
            <w:pPr>
              <w:spacing w:beforeLines="20" w:before="48" w:after="0" w:line="240" w:lineRule="auto"/>
              <w:rPr>
                <w:iCs/>
              </w:rPr>
            </w:pPr>
            <w:r>
              <w:rPr>
                <w:iCs/>
              </w:rPr>
              <w:t>Yes</w:t>
            </w:r>
          </w:p>
        </w:tc>
        <w:tc>
          <w:tcPr>
            <w:tcW w:w="125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6738DDA" w14:textId="77777777" w:rsidR="00AC7380" w:rsidRDefault="00AC7380" w:rsidP="00A53E91">
            <w:pPr>
              <w:spacing w:beforeLines="20" w:before="48" w:after="0" w:line="240" w:lineRule="auto"/>
              <w:rPr>
                <w:iCs/>
              </w:rPr>
            </w:pPr>
            <w:r>
              <w:rPr>
                <w:iCs/>
              </w:rPr>
              <w:t>Yes</w:t>
            </w:r>
          </w:p>
        </w:tc>
        <w:tc>
          <w:tcPr>
            <w:tcW w:w="125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A15AF1F" w14:textId="77777777" w:rsidR="00AC7380" w:rsidRDefault="00AC7380" w:rsidP="00A53E91">
            <w:pPr>
              <w:spacing w:beforeLines="20" w:before="48" w:after="0" w:line="240" w:lineRule="auto"/>
              <w:rPr>
                <w:iCs/>
              </w:rPr>
            </w:pPr>
            <w:r>
              <w:rPr>
                <w:iCs/>
              </w:rPr>
              <w:t>Yes</w:t>
            </w:r>
          </w:p>
        </w:tc>
        <w:tc>
          <w:tcPr>
            <w:tcW w:w="125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CEC2AAE" w14:textId="77777777" w:rsidR="00AC7380" w:rsidRDefault="00AC7380" w:rsidP="00A53E91">
            <w:pPr>
              <w:spacing w:beforeLines="20" w:before="48" w:after="0" w:line="240" w:lineRule="auto"/>
              <w:rPr>
                <w:iCs/>
              </w:rPr>
            </w:pPr>
            <w:r>
              <w:rPr>
                <w:iCs/>
              </w:rPr>
              <w:t>Yes</w:t>
            </w:r>
          </w:p>
        </w:tc>
      </w:tr>
      <w:tr w:rsidR="00AC7380" w14:paraId="0707FF30" w14:textId="77777777" w:rsidTr="2114FA65">
        <w:trPr>
          <w:gridAfter w:val="1"/>
          <w:wAfter w:w="9" w:type="dxa"/>
          <w:cantSplit/>
          <w:trHeight w:val="323"/>
        </w:trPr>
        <w:tc>
          <w:tcPr>
            <w:tcW w:w="431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7A64B52" w14:textId="5C9D7B70" w:rsidR="00AC7380" w:rsidRPr="00991DC1" w:rsidRDefault="00AC7380" w:rsidP="2114FA65">
            <w:pPr>
              <w:spacing w:beforeLines="20" w:before="48" w:after="0" w:line="240" w:lineRule="auto"/>
              <w:rPr>
                <w:rFonts w:ascii="Calibri" w:hAnsi="Calibri" w:cs="Calibri"/>
              </w:rPr>
            </w:pPr>
            <w:r w:rsidRPr="2114FA65">
              <w:rPr>
                <w:rFonts w:ascii="Calibri" w:hAnsi="Calibri" w:cs="Calibri"/>
              </w:rPr>
              <w:t xml:space="preserve">Enter into written agreements with any downstream entities that use a white-label version of </w:t>
            </w:r>
            <w:r w:rsidR="7D87FF76" w:rsidRPr="2114FA65">
              <w:rPr>
                <w:rFonts w:ascii="Calibri" w:hAnsi="Calibri" w:cs="Calibri"/>
              </w:rPr>
              <w:t xml:space="preserve">the </w:t>
            </w:r>
            <w:r w:rsidRPr="2114FA65">
              <w:rPr>
                <w:rFonts w:ascii="Calibri" w:hAnsi="Calibri" w:cs="Calibri"/>
              </w:rPr>
              <w:t xml:space="preserve">organization's EDE platform to ensure downstream entity compliance with all privacy and security requirements. Provide the State with a complete list of downstream entities with whom </w:t>
            </w:r>
            <w:r w:rsidR="7D87FF76" w:rsidRPr="2114FA65">
              <w:rPr>
                <w:rFonts w:ascii="Calibri" w:hAnsi="Calibri" w:cs="Calibri"/>
              </w:rPr>
              <w:t xml:space="preserve">the </w:t>
            </w:r>
            <w:r w:rsidRPr="2114FA65">
              <w:rPr>
                <w:rFonts w:ascii="Calibri" w:hAnsi="Calibri" w:cs="Calibri"/>
              </w:rPr>
              <w:t>organization maintains written agreements during ORR and upon request.</w:t>
            </w:r>
          </w:p>
          <w:p w14:paraId="0FB0A785" w14:textId="7E70668B" w:rsidR="00AC7380" w:rsidRPr="00991DC1" w:rsidRDefault="00AC7380" w:rsidP="2114FA65">
            <w:pPr>
              <w:spacing w:beforeLines="20" w:before="48" w:after="0" w:line="240" w:lineRule="auto"/>
              <w:rPr>
                <w:rFonts w:ascii="Calibri" w:hAnsi="Calibri" w:cs="Calibri"/>
              </w:rPr>
            </w:pPr>
          </w:p>
        </w:tc>
        <w:tc>
          <w:tcPr>
            <w:tcW w:w="125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7175616" w14:textId="3B728042" w:rsidR="00AC7380" w:rsidRDefault="00AC7380" w:rsidP="00A53E91">
            <w:pPr>
              <w:spacing w:beforeLines="20" w:before="48" w:after="0" w:line="240" w:lineRule="auto"/>
              <w:rPr>
                <w:iCs/>
              </w:rPr>
            </w:pPr>
            <w:r>
              <w:rPr>
                <w:iCs/>
              </w:rPr>
              <w:t>Yes</w:t>
            </w:r>
          </w:p>
        </w:tc>
        <w:tc>
          <w:tcPr>
            <w:tcW w:w="125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54E4962" w14:textId="73EEE05E" w:rsidR="00AC7380" w:rsidRDefault="00AC7380" w:rsidP="00A53E91">
            <w:pPr>
              <w:spacing w:beforeLines="20" w:before="48" w:after="0" w:line="240" w:lineRule="auto"/>
              <w:rPr>
                <w:iCs/>
              </w:rPr>
            </w:pPr>
            <w:r>
              <w:rPr>
                <w:iCs/>
              </w:rPr>
              <w:t>No</w:t>
            </w:r>
          </w:p>
        </w:tc>
        <w:tc>
          <w:tcPr>
            <w:tcW w:w="125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76201B4" w14:textId="77AAF47A" w:rsidR="00AC7380" w:rsidRDefault="00AC7380" w:rsidP="00A53E91">
            <w:pPr>
              <w:spacing w:beforeLines="20" w:before="48" w:after="0" w:line="240" w:lineRule="auto"/>
              <w:rPr>
                <w:iCs/>
              </w:rPr>
            </w:pPr>
            <w:r>
              <w:rPr>
                <w:iCs/>
              </w:rPr>
              <w:t>No</w:t>
            </w:r>
          </w:p>
        </w:tc>
        <w:tc>
          <w:tcPr>
            <w:tcW w:w="125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5E82CB6" w14:textId="3F6D7C89" w:rsidR="00AC7380" w:rsidRDefault="00AC7380" w:rsidP="00A53E91">
            <w:pPr>
              <w:spacing w:beforeLines="20" w:before="48" w:after="0" w:line="240" w:lineRule="auto"/>
              <w:rPr>
                <w:iCs/>
              </w:rPr>
            </w:pPr>
            <w:r>
              <w:rPr>
                <w:iCs/>
              </w:rPr>
              <w:t>No</w:t>
            </w:r>
          </w:p>
        </w:tc>
      </w:tr>
      <w:tr w:rsidR="2114FA65" w14:paraId="47E1274A" w14:textId="77777777" w:rsidTr="2114FA65">
        <w:trPr>
          <w:gridAfter w:val="1"/>
          <w:wAfter w:w="9" w:type="dxa"/>
          <w:cantSplit/>
          <w:trHeight w:val="323"/>
        </w:trPr>
        <w:tc>
          <w:tcPr>
            <w:tcW w:w="431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F19D054" w14:textId="5408432F" w:rsidR="0F9562D5" w:rsidRDefault="0F9562D5" w:rsidP="2114FA65">
            <w:pPr>
              <w:spacing w:line="240" w:lineRule="auto"/>
            </w:pPr>
            <w:r w:rsidRPr="2114FA65">
              <w:rPr>
                <w:rFonts w:ascii="Calibri" w:eastAsia="Calibri" w:hAnsi="Calibri" w:cs="Calibri"/>
              </w:rPr>
              <w:lastRenderedPageBreak/>
              <w:t>Verify that all agents using the entity's agent portal are certified by Georgia Access and licensed by OCI to operate in Georgia (if entity offers an agent portal for use by captive or independent agents).</w:t>
            </w:r>
          </w:p>
        </w:tc>
        <w:tc>
          <w:tcPr>
            <w:tcW w:w="125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966C54A" w14:textId="7D4720C4" w:rsidR="0F9562D5" w:rsidRDefault="0F9562D5" w:rsidP="2114FA65">
            <w:pPr>
              <w:spacing w:line="240" w:lineRule="auto"/>
            </w:pPr>
            <w:r>
              <w:t>Yes</w:t>
            </w:r>
          </w:p>
        </w:tc>
        <w:tc>
          <w:tcPr>
            <w:tcW w:w="125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77BFE46" w14:textId="686780DB" w:rsidR="0F9562D5" w:rsidRDefault="0F9562D5" w:rsidP="2114FA65">
            <w:pPr>
              <w:spacing w:line="240" w:lineRule="auto"/>
            </w:pPr>
            <w:r>
              <w:t>Yes</w:t>
            </w:r>
          </w:p>
        </w:tc>
        <w:tc>
          <w:tcPr>
            <w:tcW w:w="125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D272CC1" w14:textId="577D97CA" w:rsidR="0F9562D5" w:rsidRDefault="0F9562D5" w:rsidP="2114FA65">
            <w:pPr>
              <w:spacing w:line="240" w:lineRule="auto"/>
            </w:pPr>
            <w:r>
              <w:t>Yes</w:t>
            </w:r>
          </w:p>
        </w:tc>
        <w:tc>
          <w:tcPr>
            <w:tcW w:w="125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182007D" w14:textId="1EA857BA" w:rsidR="0F9562D5" w:rsidRDefault="0F9562D5" w:rsidP="2114FA65">
            <w:pPr>
              <w:spacing w:line="240" w:lineRule="auto"/>
            </w:pPr>
            <w:r>
              <w:t>Yes</w:t>
            </w:r>
            <w:r w:rsidR="6558FEB7">
              <w:t xml:space="preserve"> </w:t>
            </w:r>
            <w:r w:rsidR="37FE9EEF">
              <w:t xml:space="preserve"> </w:t>
            </w:r>
            <w:r w:rsidR="0B60C2BA">
              <w:t xml:space="preserve">  </w:t>
            </w:r>
          </w:p>
        </w:tc>
      </w:tr>
    </w:tbl>
    <w:p w14:paraId="086A0EA7" w14:textId="4A07EE24" w:rsidR="00D91855" w:rsidRDefault="00D91855" w:rsidP="00A53E91">
      <w:pPr>
        <w:pStyle w:val="Heading4"/>
        <w:spacing w:before="160" w:line="240" w:lineRule="auto"/>
      </w:pPr>
      <w:r>
        <w:t>Technical Integration and Testing Requirements</w:t>
      </w:r>
    </w:p>
    <w:p w14:paraId="4737C68A" w14:textId="57DD7DB7" w:rsidR="00A71854" w:rsidRDefault="00A71854" w:rsidP="00A53E91">
      <w:pPr>
        <w:spacing w:line="240" w:lineRule="auto"/>
      </w:pPr>
      <w:r>
        <w:t>The following table lists all technical integration and testing requirements and their applicability to primary EDE entities, hybrid non-</w:t>
      </w:r>
      <w:r w:rsidR="003B695D">
        <w:t>issuers</w:t>
      </w:r>
      <w:r>
        <w:t xml:space="preserve">, hybrid </w:t>
      </w:r>
      <w:r w:rsidR="008203EC">
        <w:t>issuers</w:t>
      </w:r>
      <w:r>
        <w:t xml:space="preserve">, and white-label </w:t>
      </w:r>
      <w:r w:rsidR="008203EC">
        <w:t>issuers</w:t>
      </w:r>
      <w:r>
        <w:t>.</w:t>
      </w:r>
    </w:p>
    <w:tbl>
      <w:tblPr>
        <w:tblStyle w:val="TableGrid"/>
        <w:tblpPr w:leftFromText="180" w:rightFromText="180" w:vertAnchor="text" w:tblpY="1"/>
        <w:tblOverlap w:val="never"/>
        <w:tblW w:w="935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4315"/>
        <w:gridCol w:w="1260"/>
        <w:gridCol w:w="1260"/>
        <w:gridCol w:w="1260"/>
        <w:gridCol w:w="1260"/>
      </w:tblGrid>
      <w:tr w:rsidR="00492842" w14:paraId="5B130135" w14:textId="77777777" w:rsidTr="2114FA65">
        <w:trPr>
          <w:cantSplit/>
          <w:tblHeader/>
        </w:trPr>
        <w:tc>
          <w:tcPr>
            <w:tcW w:w="4315" w:type="dxa"/>
            <w:vMerge w:val="restart"/>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096080"/>
            <w:vAlign w:val="center"/>
          </w:tcPr>
          <w:p w14:paraId="41C87825" w14:textId="77777777" w:rsidR="00A71854" w:rsidRDefault="00A71854" w:rsidP="00A53E91">
            <w:pPr>
              <w:spacing w:beforeLines="20" w:before="48" w:after="0" w:line="240" w:lineRule="auto"/>
              <w:rPr>
                <w:b/>
                <w:bCs/>
                <w:color w:val="FFFFFF" w:themeColor="background1"/>
              </w:rPr>
            </w:pPr>
            <w:r>
              <w:rPr>
                <w:b/>
                <w:bCs/>
                <w:color w:val="FFFFFF" w:themeColor="background1"/>
              </w:rPr>
              <w:t>Requirement</w:t>
            </w:r>
          </w:p>
        </w:tc>
        <w:tc>
          <w:tcPr>
            <w:tcW w:w="5040"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96080"/>
          </w:tcPr>
          <w:p w14:paraId="42B5FF61" w14:textId="77777777" w:rsidR="00A71854" w:rsidRDefault="00A71854" w:rsidP="00A53E91">
            <w:pPr>
              <w:spacing w:beforeLines="20" w:before="48" w:after="0" w:line="240" w:lineRule="auto"/>
              <w:rPr>
                <w:b/>
                <w:bCs/>
                <w:color w:val="FFFFFF" w:themeColor="background1"/>
              </w:rPr>
            </w:pPr>
            <w:r>
              <w:rPr>
                <w:b/>
                <w:bCs/>
                <w:color w:val="FFFFFF" w:themeColor="background1"/>
              </w:rPr>
              <w:t>Applicable to:</w:t>
            </w:r>
          </w:p>
        </w:tc>
      </w:tr>
      <w:tr w:rsidR="00492842" w14:paraId="1C2F1298" w14:textId="77777777" w:rsidTr="2114FA65">
        <w:trPr>
          <w:cantSplit/>
          <w:tblHeader/>
        </w:trPr>
        <w:tc>
          <w:tcPr>
            <w:tcW w:w="4315" w:type="dxa"/>
            <w:vMerge/>
            <w:hideMark/>
          </w:tcPr>
          <w:p w14:paraId="03222759" w14:textId="77777777" w:rsidR="00A71854" w:rsidRDefault="00A71854" w:rsidP="00A53E91">
            <w:pPr>
              <w:spacing w:beforeLines="20" w:before="48" w:after="0" w:line="240" w:lineRule="auto"/>
              <w:rPr>
                <w:b/>
                <w:bCs/>
                <w:color w:val="FFFFFF" w:themeColor="background1"/>
              </w:rPr>
            </w:pPr>
          </w:p>
        </w:tc>
        <w:tc>
          <w:tcPr>
            <w:tcW w:w="1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96080"/>
            <w:vAlign w:val="center"/>
            <w:hideMark/>
          </w:tcPr>
          <w:p w14:paraId="31B2A074" w14:textId="77777777" w:rsidR="00A71854" w:rsidRDefault="00A71854" w:rsidP="00A53E91">
            <w:pPr>
              <w:spacing w:beforeLines="20" w:before="48" w:after="0" w:line="240" w:lineRule="auto"/>
              <w:rPr>
                <w:b/>
                <w:bCs/>
                <w:color w:val="FFFFFF" w:themeColor="background1"/>
              </w:rPr>
            </w:pPr>
            <w:r>
              <w:rPr>
                <w:b/>
                <w:bCs/>
                <w:color w:val="FFFFFF" w:themeColor="background1"/>
              </w:rPr>
              <w:t>Primary EDE</w:t>
            </w:r>
          </w:p>
          <w:p w14:paraId="504C33AF" w14:textId="45475A09" w:rsidR="00E624AE" w:rsidRDefault="00E624AE" w:rsidP="00A53E91">
            <w:pPr>
              <w:spacing w:beforeLines="20" w:before="48" w:after="0" w:line="240" w:lineRule="auto"/>
              <w:rPr>
                <w:b/>
                <w:bCs/>
                <w:color w:val="FFFFFF" w:themeColor="background1"/>
              </w:rPr>
            </w:pPr>
            <w:r>
              <w:rPr>
                <w:b/>
                <w:bCs/>
                <w:color w:val="FFFFFF" w:themeColor="background1"/>
              </w:rPr>
              <w:t>Entit</w:t>
            </w:r>
            <w:r w:rsidR="00605597">
              <w:rPr>
                <w:b/>
                <w:bCs/>
                <w:color w:val="FFFFFF" w:themeColor="background1"/>
              </w:rPr>
              <w:t>ies</w:t>
            </w:r>
          </w:p>
        </w:tc>
        <w:tc>
          <w:tcPr>
            <w:tcW w:w="1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96080"/>
            <w:vAlign w:val="center"/>
            <w:hideMark/>
          </w:tcPr>
          <w:p w14:paraId="16679CD1" w14:textId="2C64ACE1" w:rsidR="00A71854" w:rsidRDefault="00A71854" w:rsidP="00A53E91">
            <w:pPr>
              <w:spacing w:beforeLines="20" w:before="48" w:after="0" w:line="240" w:lineRule="auto"/>
              <w:rPr>
                <w:b/>
                <w:bCs/>
                <w:color w:val="FFFFFF" w:themeColor="background1"/>
              </w:rPr>
            </w:pPr>
            <w:r>
              <w:rPr>
                <w:b/>
                <w:bCs/>
                <w:color w:val="FFFFFF" w:themeColor="background1"/>
              </w:rPr>
              <w:t xml:space="preserve">Hybrid </w:t>
            </w:r>
            <w:proofErr w:type="gramStart"/>
            <w:r>
              <w:rPr>
                <w:b/>
                <w:bCs/>
                <w:color w:val="FFFFFF" w:themeColor="background1"/>
              </w:rPr>
              <w:t>Non-Issuer</w:t>
            </w:r>
            <w:r w:rsidR="00605597">
              <w:rPr>
                <w:b/>
                <w:bCs/>
                <w:color w:val="FFFFFF" w:themeColor="background1"/>
              </w:rPr>
              <w:t>s</w:t>
            </w:r>
            <w:proofErr w:type="gramEnd"/>
          </w:p>
        </w:tc>
        <w:tc>
          <w:tcPr>
            <w:tcW w:w="1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96080"/>
            <w:vAlign w:val="center"/>
          </w:tcPr>
          <w:p w14:paraId="1FF7B90C" w14:textId="768FE71C" w:rsidR="00A71854" w:rsidRDefault="00A71854" w:rsidP="00A53E91">
            <w:pPr>
              <w:spacing w:beforeLines="20" w:before="48" w:after="0" w:line="240" w:lineRule="auto"/>
              <w:rPr>
                <w:b/>
                <w:bCs/>
                <w:color w:val="FFFFFF" w:themeColor="background1"/>
              </w:rPr>
            </w:pPr>
            <w:r>
              <w:rPr>
                <w:b/>
                <w:bCs/>
                <w:color w:val="FFFFFF" w:themeColor="background1"/>
              </w:rPr>
              <w:t>Hybrid Issuer</w:t>
            </w:r>
            <w:r w:rsidR="00605597">
              <w:rPr>
                <w:b/>
                <w:bCs/>
                <w:color w:val="FFFFFF" w:themeColor="background1"/>
              </w:rPr>
              <w:t>s</w:t>
            </w:r>
          </w:p>
        </w:tc>
        <w:tc>
          <w:tcPr>
            <w:tcW w:w="1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96080"/>
            <w:vAlign w:val="center"/>
          </w:tcPr>
          <w:p w14:paraId="7D82C0E5" w14:textId="1E5CFDCA" w:rsidR="00A71854" w:rsidRDefault="00A71854" w:rsidP="00A53E91">
            <w:pPr>
              <w:spacing w:beforeLines="20" w:before="48" w:after="0" w:line="240" w:lineRule="auto"/>
              <w:rPr>
                <w:b/>
                <w:bCs/>
                <w:color w:val="FFFFFF" w:themeColor="background1"/>
              </w:rPr>
            </w:pPr>
            <w:r>
              <w:rPr>
                <w:b/>
                <w:bCs/>
                <w:color w:val="FFFFFF" w:themeColor="background1"/>
              </w:rPr>
              <w:t>White-Label Issuer</w:t>
            </w:r>
            <w:r w:rsidR="00605597">
              <w:rPr>
                <w:b/>
                <w:bCs/>
                <w:color w:val="FFFFFF" w:themeColor="background1"/>
              </w:rPr>
              <w:t>s</w:t>
            </w:r>
          </w:p>
        </w:tc>
      </w:tr>
      <w:tr w:rsidR="00A71854" w14:paraId="29B9107D" w14:textId="77777777" w:rsidTr="2114FA65">
        <w:trPr>
          <w:cantSplit/>
        </w:trPr>
        <w:tc>
          <w:tcPr>
            <w:tcW w:w="431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4E91F5E" w14:textId="004E0E1E" w:rsidR="00A71854" w:rsidRPr="00991DC1" w:rsidRDefault="00A71854" w:rsidP="00A53E91">
            <w:pPr>
              <w:spacing w:beforeLines="20" w:before="48" w:after="0" w:line="240" w:lineRule="auto"/>
            </w:pPr>
            <w:r>
              <w:rPr>
                <w:rFonts w:ascii="Calibri" w:hAnsi="Calibri" w:cs="Calibri"/>
                <w:color w:val="000000"/>
              </w:rPr>
              <w:t>Implement the full Georgia Access Application Programming Interface (API) suite and complete API technical integration.</w:t>
            </w:r>
          </w:p>
        </w:tc>
        <w:tc>
          <w:tcPr>
            <w:tcW w:w="1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E65444D" w14:textId="77777777" w:rsidR="00A71854" w:rsidRDefault="00A71854" w:rsidP="00A53E91">
            <w:pPr>
              <w:spacing w:beforeLines="20" w:before="48" w:after="0" w:line="240" w:lineRule="auto"/>
              <w:rPr>
                <w:iCs/>
              </w:rPr>
            </w:pPr>
            <w:r>
              <w:rPr>
                <w:iCs/>
              </w:rPr>
              <w:t>Yes</w:t>
            </w:r>
          </w:p>
        </w:tc>
        <w:tc>
          <w:tcPr>
            <w:tcW w:w="1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DF9E7B5" w14:textId="77777777" w:rsidR="00A71854" w:rsidRDefault="00A71854" w:rsidP="00A53E91">
            <w:pPr>
              <w:spacing w:beforeLines="20" w:before="48" w:after="0" w:line="240" w:lineRule="auto"/>
              <w:rPr>
                <w:iCs/>
              </w:rPr>
            </w:pPr>
            <w:r>
              <w:rPr>
                <w:iCs/>
              </w:rPr>
              <w:t>No</w:t>
            </w:r>
          </w:p>
        </w:tc>
        <w:tc>
          <w:tcPr>
            <w:tcW w:w="1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73AEB43" w14:textId="77777777" w:rsidR="00A71854" w:rsidRDefault="00A71854" w:rsidP="00A53E91">
            <w:pPr>
              <w:spacing w:beforeLines="20" w:before="48" w:after="0" w:line="240" w:lineRule="auto"/>
              <w:rPr>
                <w:iCs/>
              </w:rPr>
            </w:pPr>
            <w:r>
              <w:rPr>
                <w:iCs/>
              </w:rPr>
              <w:t>No</w:t>
            </w:r>
          </w:p>
        </w:tc>
        <w:tc>
          <w:tcPr>
            <w:tcW w:w="1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A604162" w14:textId="77777777" w:rsidR="00A71854" w:rsidRDefault="00A71854" w:rsidP="00A53E91">
            <w:pPr>
              <w:spacing w:beforeLines="20" w:before="48" w:after="0" w:line="240" w:lineRule="auto"/>
              <w:rPr>
                <w:iCs/>
              </w:rPr>
            </w:pPr>
            <w:r>
              <w:rPr>
                <w:iCs/>
              </w:rPr>
              <w:t>No</w:t>
            </w:r>
          </w:p>
        </w:tc>
      </w:tr>
      <w:tr w:rsidR="00A71854" w14:paraId="425F2161" w14:textId="77777777" w:rsidTr="2114FA65">
        <w:trPr>
          <w:cantSplit/>
        </w:trPr>
        <w:tc>
          <w:tcPr>
            <w:tcW w:w="431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BBA549E" w14:textId="01D7EA41" w:rsidR="00A71854" w:rsidRPr="00991DC1" w:rsidRDefault="26679E13" w:rsidP="00A53E91">
            <w:pPr>
              <w:spacing w:beforeLines="20" w:before="48" w:after="0" w:line="240" w:lineRule="auto"/>
            </w:pPr>
            <w:r w:rsidRPr="428E3552">
              <w:rPr>
                <w:rFonts w:ascii="Calibri" w:hAnsi="Calibri" w:cs="Calibri"/>
                <w:color w:val="000000" w:themeColor="text1"/>
              </w:rPr>
              <w:t xml:space="preserve">Complete test cases identified by </w:t>
            </w:r>
            <w:r w:rsidR="672552F9" w:rsidRPr="428E3552">
              <w:rPr>
                <w:rFonts w:ascii="Calibri" w:hAnsi="Calibri" w:cs="Calibri"/>
                <w:color w:val="000000" w:themeColor="text1"/>
              </w:rPr>
              <w:t>Georgia Access</w:t>
            </w:r>
            <w:r w:rsidRPr="428E3552">
              <w:rPr>
                <w:rFonts w:ascii="Calibri" w:hAnsi="Calibri" w:cs="Calibri"/>
                <w:color w:val="000000" w:themeColor="text1"/>
              </w:rPr>
              <w:t xml:space="preserve"> and </w:t>
            </w:r>
            <w:bookmarkStart w:id="46" w:name="_Int_I2FSShgg"/>
            <w:proofErr w:type="gramStart"/>
            <w:r w:rsidRPr="428E3552">
              <w:rPr>
                <w:rFonts w:ascii="Calibri" w:hAnsi="Calibri" w:cs="Calibri"/>
                <w:color w:val="000000" w:themeColor="text1"/>
              </w:rPr>
              <w:t>provide</w:t>
            </w:r>
            <w:bookmarkEnd w:id="46"/>
            <w:proofErr w:type="gramEnd"/>
            <w:r w:rsidRPr="428E3552">
              <w:rPr>
                <w:rFonts w:ascii="Calibri" w:hAnsi="Calibri" w:cs="Calibri"/>
                <w:color w:val="000000" w:themeColor="text1"/>
              </w:rPr>
              <w:t xml:space="preserve"> consistent eligibility determination scenarios covered by the EDE Partner applicant’s certified EDE phase specified in the </w:t>
            </w:r>
            <w:r w:rsidRPr="428E3552">
              <w:rPr>
                <w:rFonts w:ascii="Calibri" w:hAnsi="Calibri" w:cs="Calibri"/>
                <w:i/>
                <w:iCs/>
                <w:color w:val="000000" w:themeColor="text1"/>
              </w:rPr>
              <w:t>Georgia Access API Testing Guide</w:t>
            </w:r>
            <w:r w:rsidRPr="428E3552">
              <w:rPr>
                <w:rFonts w:ascii="Calibri" w:hAnsi="Calibri" w:cs="Calibri"/>
                <w:color w:val="000000" w:themeColor="text1"/>
              </w:rPr>
              <w:t>.</w:t>
            </w:r>
          </w:p>
        </w:tc>
        <w:tc>
          <w:tcPr>
            <w:tcW w:w="1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64CF6A1" w14:textId="77777777" w:rsidR="00A71854" w:rsidRDefault="00A71854" w:rsidP="00A53E91">
            <w:pPr>
              <w:spacing w:beforeLines="20" w:before="48" w:after="0" w:line="240" w:lineRule="auto"/>
              <w:rPr>
                <w:iCs/>
              </w:rPr>
            </w:pPr>
            <w:r>
              <w:rPr>
                <w:iCs/>
              </w:rPr>
              <w:t>Yes</w:t>
            </w:r>
          </w:p>
        </w:tc>
        <w:tc>
          <w:tcPr>
            <w:tcW w:w="1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19E7867" w14:textId="77777777" w:rsidR="00A71854" w:rsidRDefault="00A71854" w:rsidP="00A53E91">
            <w:pPr>
              <w:spacing w:beforeLines="20" w:before="48" w:after="0" w:line="240" w:lineRule="auto"/>
              <w:rPr>
                <w:iCs/>
              </w:rPr>
            </w:pPr>
            <w:r>
              <w:rPr>
                <w:iCs/>
              </w:rPr>
              <w:t>No</w:t>
            </w:r>
          </w:p>
        </w:tc>
        <w:tc>
          <w:tcPr>
            <w:tcW w:w="1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77DA8E9" w14:textId="77777777" w:rsidR="00A71854" w:rsidRDefault="00A71854" w:rsidP="00A53E91">
            <w:pPr>
              <w:spacing w:beforeLines="20" w:before="48" w:after="0" w:line="240" w:lineRule="auto"/>
              <w:rPr>
                <w:iCs/>
              </w:rPr>
            </w:pPr>
            <w:r>
              <w:rPr>
                <w:iCs/>
              </w:rPr>
              <w:t>No</w:t>
            </w:r>
          </w:p>
        </w:tc>
        <w:tc>
          <w:tcPr>
            <w:tcW w:w="1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AC5D3E6" w14:textId="77777777" w:rsidR="00A71854" w:rsidRDefault="00A71854" w:rsidP="00A53E91">
            <w:pPr>
              <w:spacing w:beforeLines="20" w:before="48" w:after="0" w:line="240" w:lineRule="auto"/>
              <w:rPr>
                <w:iCs/>
              </w:rPr>
            </w:pPr>
            <w:r>
              <w:rPr>
                <w:iCs/>
              </w:rPr>
              <w:t>No</w:t>
            </w:r>
          </w:p>
        </w:tc>
      </w:tr>
      <w:tr w:rsidR="00A71854" w14:paraId="55CDDE4D" w14:textId="77777777" w:rsidTr="2114FA65">
        <w:trPr>
          <w:cantSplit/>
          <w:trHeight w:val="323"/>
        </w:trPr>
        <w:tc>
          <w:tcPr>
            <w:tcW w:w="431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69065C5" w14:textId="77EA7299" w:rsidR="00A71854" w:rsidRPr="00991DC1" w:rsidRDefault="00A71854" w:rsidP="00A53E91">
            <w:pPr>
              <w:spacing w:beforeLines="20" w:before="48" w:after="0" w:line="240" w:lineRule="auto"/>
            </w:pPr>
            <w:r>
              <w:rPr>
                <w:rFonts w:ascii="Calibri" w:hAnsi="Calibri" w:cs="Calibri"/>
                <w:color w:val="000000"/>
              </w:rPr>
              <w:t xml:space="preserve">Complete EDE and </w:t>
            </w:r>
            <w:r w:rsidR="00710174">
              <w:rPr>
                <w:rFonts w:ascii="Calibri" w:hAnsi="Calibri" w:cs="Calibri"/>
                <w:color w:val="000000"/>
              </w:rPr>
              <w:t>insurance company</w:t>
            </w:r>
            <w:r>
              <w:rPr>
                <w:rFonts w:ascii="Calibri" w:hAnsi="Calibri" w:cs="Calibri"/>
                <w:color w:val="000000"/>
              </w:rPr>
              <w:t xml:space="preserve"> end-to-end testing. </w:t>
            </w:r>
          </w:p>
        </w:tc>
        <w:tc>
          <w:tcPr>
            <w:tcW w:w="1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C9D271B" w14:textId="77777777" w:rsidR="00A71854" w:rsidRDefault="00A71854" w:rsidP="00A53E91">
            <w:pPr>
              <w:spacing w:beforeLines="20" w:before="48" w:after="0" w:line="240" w:lineRule="auto"/>
              <w:rPr>
                <w:iCs/>
              </w:rPr>
            </w:pPr>
            <w:r>
              <w:rPr>
                <w:iCs/>
              </w:rPr>
              <w:t>Yes</w:t>
            </w:r>
          </w:p>
        </w:tc>
        <w:tc>
          <w:tcPr>
            <w:tcW w:w="1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3F23045" w14:textId="77777777" w:rsidR="00A71854" w:rsidRDefault="00A71854" w:rsidP="00A53E91">
            <w:pPr>
              <w:spacing w:beforeLines="20" w:before="48" w:after="0" w:line="240" w:lineRule="auto"/>
              <w:rPr>
                <w:iCs/>
              </w:rPr>
            </w:pPr>
            <w:r>
              <w:rPr>
                <w:iCs/>
              </w:rPr>
              <w:t>No</w:t>
            </w:r>
          </w:p>
        </w:tc>
        <w:tc>
          <w:tcPr>
            <w:tcW w:w="1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D328B79" w14:textId="77777777" w:rsidR="00A71854" w:rsidRDefault="00A71854" w:rsidP="00A53E91">
            <w:pPr>
              <w:spacing w:beforeLines="20" w:before="48" w:after="0" w:line="240" w:lineRule="auto"/>
              <w:rPr>
                <w:iCs/>
              </w:rPr>
            </w:pPr>
            <w:r>
              <w:rPr>
                <w:iCs/>
              </w:rPr>
              <w:t>No</w:t>
            </w:r>
          </w:p>
        </w:tc>
        <w:tc>
          <w:tcPr>
            <w:tcW w:w="1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71D9AF1" w14:textId="77777777" w:rsidR="00A71854" w:rsidRDefault="00A71854" w:rsidP="00A53E91">
            <w:pPr>
              <w:spacing w:beforeLines="20" w:before="48" w:after="0" w:line="240" w:lineRule="auto"/>
              <w:rPr>
                <w:iCs/>
              </w:rPr>
            </w:pPr>
            <w:r>
              <w:rPr>
                <w:iCs/>
              </w:rPr>
              <w:t>No</w:t>
            </w:r>
          </w:p>
        </w:tc>
      </w:tr>
      <w:tr w:rsidR="00A71854" w14:paraId="2384FC4E" w14:textId="77777777" w:rsidTr="2114FA65">
        <w:trPr>
          <w:cantSplit/>
          <w:trHeight w:val="323"/>
        </w:trPr>
        <w:tc>
          <w:tcPr>
            <w:tcW w:w="431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5D60624" w14:textId="29FD92DD" w:rsidR="00A71854" w:rsidRPr="00991DC1" w:rsidRDefault="00A71854" w:rsidP="00A53E91">
            <w:pPr>
              <w:spacing w:beforeLines="20" w:before="48" w:after="0" w:line="240" w:lineRule="auto"/>
            </w:pPr>
            <w:r>
              <w:rPr>
                <w:rFonts w:ascii="Calibri" w:hAnsi="Calibri" w:cs="Calibri"/>
                <w:color w:val="000000"/>
              </w:rPr>
              <w:t>Resolve any issues identified during blind audits before OE 202</w:t>
            </w:r>
            <w:r w:rsidR="000A19A8">
              <w:rPr>
                <w:rFonts w:ascii="Calibri" w:hAnsi="Calibri" w:cs="Calibri"/>
                <w:color w:val="000000"/>
              </w:rPr>
              <w:t>5</w:t>
            </w:r>
            <w:r>
              <w:rPr>
                <w:rFonts w:ascii="Calibri" w:hAnsi="Calibri" w:cs="Calibri"/>
                <w:color w:val="000000"/>
              </w:rPr>
              <w:t>.</w:t>
            </w:r>
          </w:p>
        </w:tc>
        <w:tc>
          <w:tcPr>
            <w:tcW w:w="1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EB66893" w14:textId="77777777" w:rsidR="00A71854" w:rsidRDefault="00A71854" w:rsidP="00A53E91">
            <w:pPr>
              <w:spacing w:beforeLines="20" w:before="48" w:after="0" w:line="240" w:lineRule="auto"/>
              <w:rPr>
                <w:iCs/>
              </w:rPr>
            </w:pPr>
            <w:r>
              <w:rPr>
                <w:iCs/>
              </w:rPr>
              <w:t>Yes</w:t>
            </w:r>
          </w:p>
        </w:tc>
        <w:tc>
          <w:tcPr>
            <w:tcW w:w="1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6D68C8C" w14:textId="77777777" w:rsidR="00A71854" w:rsidRDefault="00A71854" w:rsidP="00A53E91">
            <w:pPr>
              <w:spacing w:beforeLines="20" w:before="48" w:after="0" w:line="240" w:lineRule="auto"/>
              <w:rPr>
                <w:iCs/>
              </w:rPr>
            </w:pPr>
            <w:r>
              <w:rPr>
                <w:iCs/>
              </w:rPr>
              <w:t>No</w:t>
            </w:r>
          </w:p>
        </w:tc>
        <w:tc>
          <w:tcPr>
            <w:tcW w:w="1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FDA92B9" w14:textId="77777777" w:rsidR="00A71854" w:rsidRDefault="00A71854" w:rsidP="00A53E91">
            <w:pPr>
              <w:spacing w:beforeLines="20" w:before="48" w:after="0" w:line="240" w:lineRule="auto"/>
              <w:rPr>
                <w:iCs/>
              </w:rPr>
            </w:pPr>
            <w:r>
              <w:rPr>
                <w:iCs/>
              </w:rPr>
              <w:t>No</w:t>
            </w:r>
          </w:p>
        </w:tc>
        <w:tc>
          <w:tcPr>
            <w:tcW w:w="1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F3BC86E" w14:textId="77777777" w:rsidR="00A71854" w:rsidRDefault="00A71854" w:rsidP="00A53E91">
            <w:pPr>
              <w:spacing w:beforeLines="20" w:before="48" w:after="0" w:line="240" w:lineRule="auto"/>
              <w:rPr>
                <w:iCs/>
              </w:rPr>
            </w:pPr>
            <w:r>
              <w:rPr>
                <w:iCs/>
              </w:rPr>
              <w:t>No</w:t>
            </w:r>
          </w:p>
        </w:tc>
      </w:tr>
      <w:tr w:rsidR="00A71854" w14:paraId="4BEB3E1F" w14:textId="77777777" w:rsidTr="2114FA65">
        <w:trPr>
          <w:cantSplit/>
          <w:trHeight w:val="323"/>
        </w:trPr>
        <w:tc>
          <w:tcPr>
            <w:tcW w:w="431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FCFF5BB" w14:textId="45FD35A1" w:rsidR="00A71854" w:rsidRPr="00991DC1" w:rsidRDefault="00ED3026" w:rsidP="00A53E91">
            <w:pPr>
              <w:spacing w:beforeLines="20" w:before="48" w:after="0" w:line="240" w:lineRule="auto"/>
            </w:pPr>
            <w:r w:rsidRPr="00ED3026">
              <w:rPr>
                <w:rFonts w:ascii="Calibri" w:hAnsi="Calibri" w:cs="Calibri"/>
                <w:color w:val="000000"/>
              </w:rPr>
              <w:t>Track</w:t>
            </w:r>
            <w:r w:rsidR="00A71854">
              <w:rPr>
                <w:rFonts w:ascii="Calibri" w:hAnsi="Calibri" w:cs="Calibri"/>
                <w:color w:val="000000"/>
              </w:rPr>
              <w:t xml:space="preserve"> agent and consumer interactions</w:t>
            </w:r>
            <w:r w:rsidRPr="00ED3026">
              <w:rPr>
                <w:rFonts w:ascii="Calibri" w:hAnsi="Calibri" w:cs="Calibri"/>
                <w:color w:val="000000"/>
              </w:rPr>
              <w:t xml:space="preserve"> within its EDE Partner environment</w:t>
            </w:r>
            <w:r w:rsidR="00A71854">
              <w:rPr>
                <w:rFonts w:ascii="Calibri" w:hAnsi="Calibri" w:cs="Calibri"/>
                <w:color w:val="000000"/>
              </w:rPr>
              <w:t xml:space="preserve">, as applicable, with consumer applications using a unique identifier for </w:t>
            </w:r>
            <w:proofErr w:type="gramStart"/>
            <w:r w:rsidR="00A71854">
              <w:rPr>
                <w:rFonts w:ascii="Calibri" w:hAnsi="Calibri" w:cs="Calibri"/>
                <w:color w:val="000000"/>
              </w:rPr>
              <w:t>each individual</w:t>
            </w:r>
            <w:proofErr w:type="gramEnd"/>
            <w:r w:rsidR="00A71854">
              <w:rPr>
                <w:rFonts w:ascii="Calibri" w:hAnsi="Calibri" w:cs="Calibri"/>
                <w:color w:val="000000"/>
              </w:rPr>
              <w:t>.</w:t>
            </w:r>
          </w:p>
        </w:tc>
        <w:tc>
          <w:tcPr>
            <w:tcW w:w="1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812E605" w14:textId="77777777" w:rsidR="00A71854" w:rsidRDefault="00A71854" w:rsidP="00A53E91">
            <w:pPr>
              <w:spacing w:beforeLines="20" w:before="48" w:after="0" w:line="240" w:lineRule="auto"/>
              <w:rPr>
                <w:iCs/>
              </w:rPr>
            </w:pPr>
            <w:r>
              <w:rPr>
                <w:iCs/>
              </w:rPr>
              <w:t>Yes</w:t>
            </w:r>
          </w:p>
        </w:tc>
        <w:tc>
          <w:tcPr>
            <w:tcW w:w="1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80F148C" w14:textId="77777777" w:rsidR="00A71854" w:rsidRDefault="00A71854" w:rsidP="00A53E91">
            <w:pPr>
              <w:spacing w:beforeLines="20" w:before="48" w:after="0" w:line="240" w:lineRule="auto"/>
              <w:rPr>
                <w:iCs/>
              </w:rPr>
            </w:pPr>
            <w:r>
              <w:rPr>
                <w:iCs/>
              </w:rPr>
              <w:t>No</w:t>
            </w:r>
          </w:p>
        </w:tc>
        <w:tc>
          <w:tcPr>
            <w:tcW w:w="1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5942AAE" w14:textId="77777777" w:rsidR="00A71854" w:rsidRDefault="00A71854" w:rsidP="00A53E91">
            <w:pPr>
              <w:spacing w:beforeLines="20" w:before="48" w:after="0" w:line="240" w:lineRule="auto"/>
              <w:rPr>
                <w:iCs/>
              </w:rPr>
            </w:pPr>
            <w:r>
              <w:rPr>
                <w:iCs/>
              </w:rPr>
              <w:t>No</w:t>
            </w:r>
          </w:p>
        </w:tc>
        <w:tc>
          <w:tcPr>
            <w:tcW w:w="1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0363DBC" w14:textId="77777777" w:rsidR="00A71854" w:rsidRDefault="00A71854" w:rsidP="00A53E91">
            <w:pPr>
              <w:spacing w:beforeLines="20" w:before="48" w:after="0" w:line="240" w:lineRule="auto"/>
              <w:rPr>
                <w:iCs/>
              </w:rPr>
            </w:pPr>
            <w:r>
              <w:rPr>
                <w:iCs/>
              </w:rPr>
              <w:t>No</w:t>
            </w:r>
          </w:p>
        </w:tc>
      </w:tr>
      <w:tr w:rsidR="00A71854" w14:paraId="357C318E" w14:textId="77777777" w:rsidTr="2114FA65">
        <w:trPr>
          <w:cantSplit/>
          <w:trHeight w:val="323"/>
        </w:trPr>
        <w:tc>
          <w:tcPr>
            <w:tcW w:w="431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ABB0986" w14:textId="3BC84B13" w:rsidR="00A71854" w:rsidRPr="00991DC1" w:rsidRDefault="00A71854" w:rsidP="00A53E91">
            <w:pPr>
              <w:spacing w:beforeLines="20" w:before="48" w:after="0" w:line="240" w:lineRule="auto"/>
            </w:pPr>
            <w:r w:rsidRPr="0E755E34">
              <w:rPr>
                <w:rFonts w:ascii="Calibri" w:hAnsi="Calibri" w:cs="Calibri"/>
                <w:color w:val="000000" w:themeColor="text1"/>
              </w:rPr>
              <w:t xml:space="preserve">Provide, either directly, through agents or through the primary entity, manual ID Proofing (IDP) for consumers by reviewing and validating consumer ID documentation when the Remote Identity Proofing (RIDP) service is not used or </w:t>
            </w:r>
            <w:r w:rsidR="5AB074BF" w:rsidRPr="0E755E34">
              <w:rPr>
                <w:rFonts w:ascii="Calibri" w:hAnsi="Calibri" w:cs="Calibri"/>
                <w:color w:val="000000" w:themeColor="text1"/>
              </w:rPr>
              <w:t xml:space="preserve">is </w:t>
            </w:r>
            <w:r w:rsidRPr="0E755E34">
              <w:rPr>
                <w:rFonts w:ascii="Calibri" w:hAnsi="Calibri" w:cs="Calibri"/>
                <w:color w:val="000000" w:themeColor="text1"/>
              </w:rPr>
              <w:t>unavailable.</w:t>
            </w:r>
          </w:p>
        </w:tc>
        <w:tc>
          <w:tcPr>
            <w:tcW w:w="1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469207D" w14:textId="7FF7E772" w:rsidR="00A71854" w:rsidRDefault="00A71854" w:rsidP="00A53E91">
            <w:pPr>
              <w:spacing w:beforeLines="20" w:before="48" w:after="0" w:line="240" w:lineRule="auto"/>
              <w:rPr>
                <w:iCs/>
              </w:rPr>
            </w:pPr>
            <w:r>
              <w:rPr>
                <w:iCs/>
              </w:rPr>
              <w:t xml:space="preserve">Web </w:t>
            </w:r>
            <w:r w:rsidR="003B05DC">
              <w:rPr>
                <w:iCs/>
              </w:rPr>
              <w:t>b</w:t>
            </w:r>
            <w:r>
              <w:rPr>
                <w:iCs/>
              </w:rPr>
              <w:t>rokers only</w:t>
            </w:r>
          </w:p>
        </w:tc>
        <w:tc>
          <w:tcPr>
            <w:tcW w:w="1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01027D7" w14:textId="77777777" w:rsidR="00A71854" w:rsidRDefault="00A71854" w:rsidP="00A53E91">
            <w:pPr>
              <w:spacing w:beforeLines="20" w:before="48" w:after="0" w:line="240" w:lineRule="auto"/>
              <w:rPr>
                <w:iCs/>
              </w:rPr>
            </w:pPr>
            <w:r>
              <w:rPr>
                <w:iCs/>
              </w:rPr>
              <w:t>Yes</w:t>
            </w:r>
          </w:p>
        </w:tc>
        <w:tc>
          <w:tcPr>
            <w:tcW w:w="1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6D52113" w14:textId="77777777" w:rsidR="00A71854" w:rsidRDefault="00A71854" w:rsidP="00A53E91">
            <w:pPr>
              <w:spacing w:beforeLines="20" w:before="48" w:after="0" w:line="240" w:lineRule="auto"/>
              <w:rPr>
                <w:iCs/>
              </w:rPr>
            </w:pPr>
            <w:r>
              <w:rPr>
                <w:iCs/>
              </w:rPr>
              <w:t>Yes</w:t>
            </w:r>
          </w:p>
        </w:tc>
        <w:tc>
          <w:tcPr>
            <w:tcW w:w="1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96291B2" w14:textId="77777777" w:rsidR="00A71854" w:rsidRDefault="00A71854" w:rsidP="00A53E91">
            <w:pPr>
              <w:spacing w:beforeLines="20" w:before="48" w:after="0" w:line="240" w:lineRule="auto"/>
              <w:rPr>
                <w:iCs/>
              </w:rPr>
            </w:pPr>
            <w:r>
              <w:rPr>
                <w:iCs/>
              </w:rPr>
              <w:t>Yes</w:t>
            </w:r>
          </w:p>
        </w:tc>
      </w:tr>
      <w:tr w:rsidR="00A71854" w14:paraId="6002AC07" w14:textId="77777777" w:rsidTr="2114FA65">
        <w:trPr>
          <w:cantSplit/>
          <w:trHeight w:val="323"/>
        </w:trPr>
        <w:tc>
          <w:tcPr>
            <w:tcW w:w="431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885F0E5" w14:textId="48D0EE06" w:rsidR="00A71854" w:rsidRDefault="00A71854" w:rsidP="00A53E91">
            <w:pPr>
              <w:spacing w:beforeLines="20" w:before="48" w:after="0" w:line="240" w:lineRule="auto"/>
              <w:rPr>
                <w:rFonts w:ascii="Calibri" w:hAnsi="Calibri" w:cs="Calibri"/>
                <w:color w:val="000000"/>
              </w:rPr>
            </w:pPr>
            <w:r w:rsidRPr="000F51AB">
              <w:rPr>
                <w:rFonts w:ascii="Calibri" w:hAnsi="Calibri" w:cs="Calibri"/>
                <w:color w:val="000000"/>
              </w:rPr>
              <w:t xml:space="preserve">Provide entity profile (i.e., logo, contact information, shopping URL, and customer support information) for display to the public for Georgia Access </w:t>
            </w:r>
            <w:r w:rsidR="002677B2">
              <w:rPr>
                <w:rFonts w:ascii="Calibri" w:hAnsi="Calibri" w:cs="Calibri"/>
                <w:color w:val="000000"/>
              </w:rPr>
              <w:t>website</w:t>
            </w:r>
            <w:r w:rsidRPr="000F51AB">
              <w:rPr>
                <w:rFonts w:ascii="Calibri" w:hAnsi="Calibri" w:cs="Calibri"/>
                <w:color w:val="000000"/>
              </w:rPr>
              <w:t xml:space="preserve"> and notices. </w:t>
            </w:r>
          </w:p>
        </w:tc>
        <w:tc>
          <w:tcPr>
            <w:tcW w:w="1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5777900" w14:textId="478B59D4" w:rsidR="00A71854" w:rsidRDefault="00A71854" w:rsidP="00A53E91">
            <w:pPr>
              <w:spacing w:beforeLines="20" w:before="48" w:after="0" w:line="240" w:lineRule="auto"/>
              <w:rPr>
                <w:iCs/>
              </w:rPr>
            </w:pPr>
            <w:r>
              <w:rPr>
                <w:iCs/>
              </w:rPr>
              <w:t xml:space="preserve">Web </w:t>
            </w:r>
            <w:r w:rsidR="003B05DC">
              <w:rPr>
                <w:iCs/>
              </w:rPr>
              <w:t>b</w:t>
            </w:r>
            <w:r>
              <w:rPr>
                <w:iCs/>
              </w:rPr>
              <w:t>rokers only</w:t>
            </w:r>
          </w:p>
        </w:tc>
        <w:tc>
          <w:tcPr>
            <w:tcW w:w="1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369DFED" w14:textId="77777777" w:rsidR="00A71854" w:rsidRDefault="00A71854" w:rsidP="00A53E91">
            <w:pPr>
              <w:spacing w:beforeLines="20" w:before="48" w:after="0" w:line="240" w:lineRule="auto"/>
              <w:rPr>
                <w:iCs/>
              </w:rPr>
            </w:pPr>
            <w:r>
              <w:rPr>
                <w:iCs/>
              </w:rPr>
              <w:t>Yes</w:t>
            </w:r>
          </w:p>
        </w:tc>
        <w:tc>
          <w:tcPr>
            <w:tcW w:w="1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FC0424A" w14:textId="77777777" w:rsidR="00A71854" w:rsidRDefault="00A71854" w:rsidP="00A53E91">
            <w:pPr>
              <w:spacing w:beforeLines="20" w:before="48" w:after="0" w:line="240" w:lineRule="auto"/>
              <w:rPr>
                <w:iCs/>
              </w:rPr>
            </w:pPr>
            <w:r>
              <w:rPr>
                <w:iCs/>
              </w:rPr>
              <w:t>Yes</w:t>
            </w:r>
          </w:p>
        </w:tc>
        <w:tc>
          <w:tcPr>
            <w:tcW w:w="1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DBBFDC0" w14:textId="77777777" w:rsidR="00A71854" w:rsidRDefault="00A71854" w:rsidP="00A53E91">
            <w:pPr>
              <w:spacing w:beforeLines="20" w:before="48" w:after="0" w:line="240" w:lineRule="auto"/>
              <w:rPr>
                <w:iCs/>
              </w:rPr>
            </w:pPr>
            <w:r>
              <w:rPr>
                <w:iCs/>
              </w:rPr>
              <w:t>Yes</w:t>
            </w:r>
          </w:p>
        </w:tc>
      </w:tr>
      <w:tr w:rsidR="00A71854" w14:paraId="4ED7180D" w14:textId="77777777" w:rsidTr="2114FA65">
        <w:trPr>
          <w:cantSplit/>
          <w:trHeight w:val="674"/>
        </w:trPr>
        <w:tc>
          <w:tcPr>
            <w:tcW w:w="431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18E7D5B" w14:textId="756EAB52" w:rsidR="00A71854" w:rsidRPr="00A03FBA" w:rsidRDefault="00FF18AE" w:rsidP="00A53E91">
            <w:pPr>
              <w:spacing w:beforeLines="20" w:before="48" w:after="0" w:line="240" w:lineRule="auto"/>
            </w:pPr>
            <w:r>
              <w:lastRenderedPageBreak/>
              <w:t>N</w:t>
            </w:r>
            <w:r w:rsidR="00A71854" w:rsidRPr="00674B4C">
              <w:t>otify the SBE of any updates or changes to the entity’s information.</w:t>
            </w:r>
          </w:p>
        </w:tc>
        <w:tc>
          <w:tcPr>
            <w:tcW w:w="1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26BECB8" w14:textId="77777777" w:rsidR="00A71854" w:rsidRPr="00674B4C" w:rsidRDefault="00A71854" w:rsidP="00A53E91">
            <w:pPr>
              <w:spacing w:beforeLines="20" w:before="48" w:after="0" w:line="240" w:lineRule="auto"/>
            </w:pPr>
            <w:r>
              <w:rPr>
                <w:iCs/>
              </w:rPr>
              <w:t>Yes</w:t>
            </w:r>
          </w:p>
        </w:tc>
        <w:tc>
          <w:tcPr>
            <w:tcW w:w="1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1650E75" w14:textId="77777777" w:rsidR="00A71854" w:rsidRDefault="00A71854" w:rsidP="00A53E91">
            <w:pPr>
              <w:spacing w:beforeLines="20" w:before="48" w:after="0" w:line="240" w:lineRule="auto"/>
              <w:rPr>
                <w:iCs/>
              </w:rPr>
            </w:pPr>
            <w:r>
              <w:rPr>
                <w:iCs/>
              </w:rPr>
              <w:t>Yes</w:t>
            </w:r>
          </w:p>
        </w:tc>
        <w:tc>
          <w:tcPr>
            <w:tcW w:w="1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CE88082" w14:textId="77777777" w:rsidR="00A71854" w:rsidRDefault="00A71854" w:rsidP="00A53E91">
            <w:pPr>
              <w:spacing w:beforeLines="20" w:before="48" w:after="0" w:line="240" w:lineRule="auto"/>
              <w:rPr>
                <w:iCs/>
              </w:rPr>
            </w:pPr>
            <w:r>
              <w:rPr>
                <w:iCs/>
              </w:rPr>
              <w:t>Yes</w:t>
            </w:r>
          </w:p>
        </w:tc>
        <w:tc>
          <w:tcPr>
            <w:tcW w:w="1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E96EB8C" w14:textId="77777777" w:rsidR="00A71854" w:rsidRDefault="00A71854" w:rsidP="00A53E91">
            <w:pPr>
              <w:spacing w:beforeLines="20" w:before="48" w:after="0" w:line="240" w:lineRule="auto"/>
              <w:rPr>
                <w:iCs/>
              </w:rPr>
            </w:pPr>
            <w:r w:rsidDel="00CA5AEF">
              <w:rPr>
                <w:iCs/>
              </w:rPr>
              <w:t>Yes</w:t>
            </w:r>
          </w:p>
        </w:tc>
      </w:tr>
      <w:tr w:rsidR="00A71854" w14:paraId="4FEE8BBB" w14:textId="77777777" w:rsidTr="2114FA65">
        <w:trPr>
          <w:cantSplit/>
          <w:trHeight w:val="323"/>
        </w:trPr>
        <w:tc>
          <w:tcPr>
            <w:tcW w:w="431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CC27B6C" w14:textId="66DDE35D" w:rsidR="00A71854" w:rsidRPr="000F51AB" w:rsidRDefault="005D0599" w:rsidP="00A53E91">
            <w:pPr>
              <w:spacing w:beforeLines="20" w:before="48" w:after="0" w:line="240" w:lineRule="auto"/>
              <w:rPr>
                <w:rFonts w:ascii="Calibri" w:hAnsi="Calibri" w:cs="Calibri"/>
                <w:color w:val="000000"/>
              </w:rPr>
            </w:pPr>
            <w:r>
              <w:rPr>
                <w:rStyle w:val="ui-provider"/>
              </w:rPr>
              <w:t>Provide a defined, State-approved technical procedure for handling, processing, or referring complex consumer cases.</w:t>
            </w:r>
          </w:p>
        </w:tc>
        <w:tc>
          <w:tcPr>
            <w:tcW w:w="1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C05A9C3" w14:textId="0EC91917" w:rsidR="00A71854" w:rsidRDefault="6CDBACA8" w:rsidP="00A53E91">
            <w:pPr>
              <w:spacing w:beforeLines="20" w:before="48" w:after="0" w:line="240" w:lineRule="auto"/>
            </w:pPr>
            <w:r>
              <w:t>Yes</w:t>
            </w:r>
            <w:r w:rsidR="775DDA07">
              <w:t xml:space="preserve"> (Phase 2 EDE Partners only)</w:t>
            </w:r>
          </w:p>
        </w:tc>
        <w:tc>
          <w:tcPr>
            <w:tcW w:w="1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04E7B47" w14:textId="77777777" w:rsidR="00A71854" w:rsidRDefault="00A71854" w:rsidP="00A53E91">
            <w:pPr>
              <w:spacing w:beforeLines="20" w:before="48" w:after="0" w:line="240" w:lineRule="auto"/>
              <w:rPr>
                <w:iCs/>
              </w:rPr>
            </w:pPr>
            <w:r>
              <w:rPr>
                <w:iCs/>
              </w:rPr>
              <w:t>No</w:t>
            </w:r>
          </w:p>
        </w:tc>
        <w:tc>
          <w:tcPr>
            <w:tcW w:w="1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DDC19AD" w14:textId="77777777" w:rsidR="00A71854" w:rsidRDefault="00A71854" w:rsidP="00A53E91">
            <w:pPr>
              <w:spacing w:beforeLines="20" w:before="48" w:after="0" w:line="240" w:lineRule="auto"/>
              <w:rPr>
                <w:iCs/>
              </w:rPr>
            </w:pPr>
            <w:r>
              <w:rPr>
                <w:iCs/>
              </w:rPr>
              <w:t>No</w:t>
            </w:r>
          </w:p>
        </w:tc>
        <w:tc>
          <w:tcPr>
            <w:tcW w:w="1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FD1D53F" w14:textId="77777777" w:rsidR="00A71854" w:rsidRDefault="00A71854" w:rsidP="00A53E91">
            <w:pPr>
              <w:spacing w:beforeLines="20" w:before="48" w:after="0" w:line="240" w:lineRule="auto"/>
              <w:rPr>
                <w:iCs/>
              </w:rPr>
            </w:pPr>
            <w:r>
              <w:rPr>
                <w:iCs/>
              </w:rPr>
              <w:t>No</w:t>
            </w:r>
          </w:p>
        </w:tc>
      </w:tr>
      <w:tr w:rsidR="00A310FE" w14:paraId="60CDE3EC" w14:textId="77777777" w:rsidTr="2114FA65">
        <w:trPr>
          <w:cantSplit/>
          <w:trHeight w:val="323"/>
        </w:trPr>
        <w:tc>
          <w:tcPr>
            <w:tcW w:w="431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452903C" w14:textId="56F5B62D" w:rsidR="00A310FE" w:rsidRPr="0009639E" w:rsidRDefault="00A310FE" w:rsidP="00A53E91">
            <w:pPr>
              <w:spacing w:beforeLines="20" w:before="48" w:after="0" w:line="240" w:lineRule="auto"/>
              <w:rPr>
                <w:rFonts w:ascii="Calibri" w:hAnsi="Calibri" w:cs="Calibri"/>
                <w:color w:val="000000"/>
              </w:rPr>
            </w:pPr>
            <w:r w:rsidRPr="0009639E">
              <w:rPr>
                <w:rFonts w:ascii="Calibri" w:hAnsi="Calibri" w:cs="Calibri"/>
                <w:color w:val="000000"/>
              </w:rPr>
              <w:t xml:space="preserve">Participate in </w:t>
            </w:r>
            <w:r w:rsidR="007945A7" w:rsidRPr="0009639E">
              <w:rPr>
                <w:rFonts w:ascii="Calibri" w:hAnsi="Calibri" w:cs="Calibri"/>
                <w:color w:val="000000"/>
              </w:rPr>
              <w:t>ORRs with Georgia Access.</w:t>
            </w:r>
            <w:r w:rsidR="000F31D7">
              <w:rPr>
                <w:rFonts w:ascii="Calibri" w:hAnsi="Calibri" w:cs="Calibri"/>
                <w:color w:val="000000"/>
              </w:rPr>
              <w:t xml:space="preserve"> Reference </w:t>
            </w:r>
            <w:hyperlink w:anchor="_Operational_Readiness_Reviews" w:history="1">
              <w:r w:rsidR="006B1FCF">
                <w:rPr>
                  <w:rStyle w:val="Hyperlink"/>
                  <w:rFonts w:ascii="Calibri" w:hAnsi="Calibri" w:cs="Calibri"/>
                  <w:i/>
                  <w:iCs/>
                </w:rPr>
                <w:t>Section 2.2.2.5 Operational Readiness Reviews</w:t>
              </w:r>
            </w:hyperlink>
            <w:r w:rsidR="000F31D7">
              <w:rPr>
                <w:rFonts w:ascii="Calibri" w:hAnsi="Calibri" w:cs="Calibri"/>
                <w:color w:val="000000"/>
              </w:rPr>
              <w:t xml:space="preserve"> for more details on the ORR process.</w:t>
            </w:r>
          </w:p>
        </w:tc>
        <w:tc>
          <w:tcPr>
            <w:tcW w:w="1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E73F009" w14:textId="5465F194" w:rsidR="00A310FE" w:rsidRDefault="007945A7" w:rsidP="00A53E91">
            <w:pPr>
              <w:spacing w:beforeLines="20" w:before="48" w:after="0" w:line="240" w:lineRule="auto"/>
              <w:rPr>
                <w:iCs/>
              </w:rPr>
            </w:pPr>
            <w:r>
              <w:rPr>
                <w:iCs/>
              </w:rPr>
              <w:t>Yes</w:t>
            </w:r>
          </w:p>
        </w:tc>
        <w:tc>
          <w:tcPr>
            <w:tcW w:w="1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0CC89D8" w14:textId="7AA8EF60" w:rsidR="00A310FE" w:rsidRDefault="007945A7" w:rsidP="00A53E91">
            <w:pPr>
              <w:spacing w:beforeLines="20" w:before="48" w:after="0" w:line="240" w:lineRule="auto"/>
              <w:rPr>
                <w:iCs/>
              </w:rPr>
            </w:pPr>
            <w:r>
              <w:rPr>
                <w:iCs/>
              </w:rPr>
              <w:t>Yes</w:t>
            </w:r>
          </w:p>
        </w:tc>
        <w:tc>
          <w:tcPr>
            <w:tcW w:w="1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1D117FB" w14:textId="75DCADDD" w:rsidR="00A310FE" w:rsidRDefault="007945A7" w:rsidP="00A53E91">
            <w:pPr>
              <w:spacing w:beforeLines="20" w:before="48" w:after="0" w:line="240" w:lineRule="auto"/>
              <w:rPr>
                <w:iCs/>
              </w:rPr>
            </w:pPr>
            <w:r>
              <w:rPr>
                <w:iCs/>
              </w:rPr>
              <w:t>Yes</w:t>
            </w:r>
          </w:p>
        </w:tc>
        <w:tc>
          <w:tcPr>
            <w:tcW w:w="1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D91E367" w14:textId="363F21E1" w:rsidR="00A310FE" w:rsidRDefault="007945A7" w:rsidP="00A53E91">
            <w:pPr>
              <w:spacing w:beforeLines="20" w:before="48" w:after="0" w:line="240" w:lineRule="auto"/>
              <w:rPr>
                <w:iCs/>
              </w:rPr>
            </w:pPr>
            <w:r>
              <w:rPr>
                <w:iCs/>
              </w:rPr>
              <w:t>Yes</w:t>
            </w:r>
          </w:p>
        </w:tc>
      </w:tr>
    </w:tbl>
    <w:p w14:paraId="30F4C410" w14:textId="14561778" w:rsidR="00D91855" w:rsidRDefault="00D91855" w:rsidP="00A53E91">
      <w:pPr>
        <w:pStyle w:val="Heading4"/>
        <w:spacing w:before="160" w:line="240" w:lineRule="auto"/>
      </w:pPr>
      <w:r>
        <w:t>Consumer Application Requirements</w:t>
      </w:r>
    </w:p>
    <w:p w14:paraId="60135DDB" w14:textId="7DB936CF" w:rsidR="006964EF" w:rsidRPr="00FF09B7" w:rsidRDefault="006964EF" w:rsidP="00A53E91">
      <w:pPr>
        <w:spacing w:line="240" w:lineRule="auto"/>
      </w:pPr>
      <w:r>
        <w:t xml:space="preserve">EDE Partners must </w:t>
      </w:r>
      <w:r>
        <w:rPr>
          <w:rFonts w:ascii="Calibri" w:hAnsi="Calibri" w:cs="Calibri"/>
        </w:rPr>
        <w:t>p</w:t>
      </w:r>
      <w:r w:rsidRPr="00E53545">
        <w:rPr>
          <w:rFonts w:ascii="Calibri" w:hAnsi="Calibri" w:cs="Calibri"/>
        </w:rPr>
        <w:t>rovide a</w:t>
      </w:r>
      <w:r w:rsidR="00E16A29">
        <w:rPr>
          <w:rFonts w:ascii="Calibri" w:hAnsi="Calibri" w:cs="Calibri"/>
        </w:rPr>
        <w:t xml:space="preserve"> </w:t>
      </w:r>
      <w:proofErr w:type="spellStart"/>
      <w:r>
        <w:rPr>
          <w:rFonts w:ascii="Calibri" w:hAnsi="Calibri" w:cs="Calibri"/>
        </w:rPr>
        <w:t>SSApp</w:t>
      </w:r>
      <w:proofErr w:type="spellEnd"/>
      <w:r>
        <w:rPr>
          <w:rFonts w:ascii="Calibri" w:hAnsi="Calibri" w:cs="Calibri"/>
        </w:rPr>
        <w:t xml:space="preserve"> that </w:t>
      </w:r>
      <w:r>
        <w:t xml:space="preserve">meets the requirements outlined in the </w:t>
      </w:r>
      <w:r w:rsidRPr="00FF09B7">
        <w:rPr>
          <w:i/>
          <w:iCs/>
        </w:rPr>
        <w:t>Georgia Access UI Question Companion Guide</w:t>
      </w:r>
      <w:r>
        <w:t xml:space="preserve">, which is based on the </w:t>
      </w:r>
      <w:r w:rsidRPr="00FF09B7">
        <w:rPr>
          <w:i/>
          <w:iCs/>
        </w:rPr>
        <w:t>CCIIO UI Question Companion Guide</w:t>
      </w:r>
      <w:r>
        <w:t xml:space="preserve"> with Georgia Access-specific changes. Refer to </w:t>
      </w:r>
      <w:hyperlink w:anchor="_Georgia_Access_User" w:history="1">
        <w:r w:rsidR="006B1FCF">
          <w:rPr>
            <w:rStyle w:val="Hyperlink"/>
            <w:i/>
            <w:iCs/>
          </w:rPr>
          <w:t>Section 2.2.2.2 Georgia Access User Interface (UI) Question Companion Guide</w:t>
        </w:r>
      </w:hyperlink>
      <w:r>
        <w:t xml:space="preserve"> for more details on the differences between the </w:t>
      </w:r>
      <w:r w:rsidRPr="0009639E">
        <w:t>Georgia Access</w:t>
      </w:r>
      <w:r w:rsidR="00590C61" w:rsidRPr="0009639E">
        <w:t xml:space="preserve"> and CCIIO</w:t>
      </w:r>
      <w:r w:rsidRPr="0009639E">
        <w:t xml:space="preserve"> UI Question Companion Guide</w:t>
      </w:r>
      <w:r w:rsidR="002A3DCF" w:rsidRPr="002A3DCF">
        <w:t>s</w:t>
      </w:r>
      <w:r w:rsidRPr="002A3DCF">
        <w:t>.</w:t>
      </w:r>
    </w:p>
    <w:p w14:paraId="62047957" w14:textId="25239E30" w:rsidR="006964EF" w:rsidRDefault="006964EF" w:rsidP="00A53E91">
      <w:pPr>
        <w:spacing w:line="240" w:lineRule="auto"/>
      </w:pPr>
      <w:r>
        <w:t>The following table lists all UI/QHP application change requirements and their applicability to primary EDE entities, hybrid non-issuers, hybrid issuers, and white-label issuers.</w:t>
      </w:r>
    </w:p>
    <w:tbl>
      <w:tblPr>
        <w:tblStyle w:val="TableGrid"/>
        <w:tblW w:w="9355" w:type="dxa"/>
        <w:tblLayout w:type="fixed"/>
        <w:tblLook w:val="04A0" w:firstRow="1" w:lastRow="0" w:firstColumn="1" w:lastColumn="0" w:noHBand="0" w:noVBand="1"/>
      </w:tblPr>
      <w:tblGrid>
        <w:gridCol w:w="4315"/>
        <w:gridCol w:w="1260"/>
        <w:gridCol w:w="1260"/>
        <w:gridCol w:w="1260"/>
        <w:gridCol w:w="1260"/>
      </w:tblGrid>
      <w:tr w:rsidR="006964EF" w:rsidRPr="00084979" w14:paraId="4CF1DEF9" w14:textId="77777777" w:rsidTr="008203EC">
        <w:trPr>
          <w:cantSplit/>
          <w:trHeight w:val="440"/>
          <w:tblHeader/>
        </w:trPr>
        <w:tc>
          <w:tcPr>
            <w:tcW w:w="4315"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96080"/>
            <w:vAlign w:val="center"/>
          </w:tcPr>
          <w:p w14:paraId="60AFF630" w14:textId="77777777" w:rsidR="006964EF" w:rsidRDefault="006964EF" w:rsidP="00A53E91">
            <w:pPr>
              <w:spacing w:after="0" w:line="240" w:lineRule="auto"/>
              <w:rPr>
                <w:rFonts w:cstheme="minorHAnsi"/>
                <w:b/>
              </w:rPr>
            </w:pPr>
            <w:r w:rsidRPr="0009639E">
              <w:rPr>
                <w:rFonts w:cstheme="minorHAnsi"/>
                <w:b/>
                <w:color w:val="FFFFFF" w:themeColor="background1"/>
              </w:rPr>
              <w:t>Requirement</w:t>
            </w:r>
          </w:p>
        </w:tc>
        <w:tc>
          <w:tcPr>
            <w:tcW w:w="5040"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96080"/>
          </w:tcPr>
          <w:p w14:paraId="59848BBE" w14:textId="77777777" w:rsidR="006964EF" w:rsidRDefault="006964EF" w:rsidP="00A53E91">
            <w:pPr>
              <w:spacing w:after="0" w:line="240" w:lineRule="auto"/>
              <w:rPr>
                <w:rFonts w:cstheme="minorHAnsi"/>
                <w:b/>
              </w:rPr>
            </w:pPr>
            <w:r w:rsidRPr="0009639E">
              <w:rPr>
                <w:rFonts w:cstheme="minorHAnsi"/>
                <w:b/>
                <w:color w:val="FFFFFF" w:themeColor="background1"/>
              </w:rPr>
              <w:t>Applicable to:</w:t>
            </w:r>
          </w:p>
        </w:tc>
      </w:tr>
      <w:tr w:rsidR="00492842" w:rsidRPr="00084979" w14:paraId="70F471DB" w14:textId="77777777" w:rsidTr="008203EC">
        <w:trPr>
          <w:cantSplit/>
          <w:trHeight w:val="926"/>
          <w:tblHeader/>
        </w:trPr>
        <w:tc>
          <w:tcPr>
            <w:tcW w:w="4315" w:type="dxa"/>
            <w:vMerge/>
            <w:tcBorders>
              <w:top w:val="single" w:sz="4" w:space="0" w:color="FFFFFF" w:themeColor="background1"/>
              <w:left w:val="single" w:sz="4" w:space="0" w:color="FFFFFF" w:themeColor="background1"/>
              <w:bottom w:val="single" w:sz="4" w:space="0" w:color="D9D9D9" w:themeColor="background1" w:themeShade="D9"/>
              <w:right w:val="single" w:sz="4" w:space="0" w:color="FFFFFF" w:themeColor="background1"/>
            </w:tcBorders>
            <w:shd w:val="clear" w:color="auto" w:fill="096080"/>
          </w:tcPr>
          <w:p w14:paraId="7603E652" w14:textId="77777777" w:rsidR="006964EF" w:rsidRPr="00084979" w:rsidRDefault="006964EF" w:rsidP="00A53E91">
            <w:pPr>
              <w:spacing w:after="0" w:line="240" w:lineRule="auto"/>
              <w:jc w:val="both"/>
              <w:rPr>
                <w:rFonts w:eastAsia="MS Gothic" w:cstheme="minorHAnsi"/>
                <w:b/>
              </w:rPr>
            </w:pPr>
          </w:p>
        </w:tc>
        <w:tc>
          <w:tcPr>
            <w:tcW w:w="1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96080"/>
            <w:vAlign w:val="center"/>
          </w:tcPr>
          <w:p w14:paraId="0EA7DF43" w14:textId="7938412C" w:rsidR="006964EF" w:rsidRDefault="006964EF" w:rsidP="00A53E91">
            <w:pPr>
              <w:spacing w:after="0" w:line="240" w:lineRule="auto"/>
              <w:rPr>
                <w:rFonts w:cstheme="minorHAnsi"/>
                <w:b/>
              </w:rPr>
            </w:pPr>
            <w:r>
              <w:rPr>
                <w:b/>
                <w:bCs/>
                <w:color w:val="FFFFFF" w:themeColor="background1"/>
              </w:rPr>
              <w:t>Primary EDE</w:t>
            </w:r>
            <w:r w:rsidR="00605597">
              <w:rPr>
                <w:b/>
                <w:bCs/>
                <w:color w:val="FFFFFF" w:themeColor="background1"/>
              </w:rPr>
              <w:t xml:space="preserve"> Entities</w:t>
            </w:r>
          </w:p>
        </w:tc>
        <w:tc>
          <w:tcPr>
            <w:tcW w:w="1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96080"/>
            <w:vAlign w:val="center"/>
          </w:tcPr>
          <w:p w14:paraId="592CD066" w14:textId="7B778929" w:rsidR="006964EF" w:rsidRDefault="006964EF" w:rsidP="00A53E91">
            <w:pPr>
              <w:spacing w:after="0" w:line="240" w:lineRule="auto"/>
              <w:rPr>
                <w:rFonts w:cstheme="minorHAnsi"/>
                <w:b/>
              </w:rPr>
            </w:pPr>
            <w:r>
              <w:rPr>
                <w:b/>
                <w:bCs/>
                <w:color w:val="FFFFFF" w:themeColor="background1"/>
              </w:rPr>
              <w:t xml:space="preserve">Hybrid </w:t>
            </w:r>
            <w:proofErr w:type="gramStart"/>
            <w:r>
              <w:rPr>
                <w:b/>
                <w:bCs/>
                <w:color w:val="FFFFFF" w:themeColor="background1"/>
              </w:rPr>
              <w:t>Non-Issuer</w:t>
            </w:r>
            <w:r w:rsidR="00605597">
              <w:rPr>
                <w:b/>
                <w:bCs/>
                <w:color w:val="FFFFFF" w:themeColor="background1"/>
              </w:rPr>
              <w:t>s</w:t>
            </w:r>
            <w:proofErr w:type="gramEnd"/>
          </w:p>
        </w:tc>
        <w:tc>
          <w:tcPr>
            <w:tcW w:w="1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96080"/>
            <w:vAlign w:val="center"/>
          </w:tcPr>
          <w:p w14:paraId="2743C8B3" w14:textId="2E7CBDCB" w:rsidR="006964EF" w:rsidRDefault="006964EF" w:rsidP="00A53E91">
            <w:pPr>
              <w:spacing w:after="0" w:line="240" w:lineRule="auto"/>
              <w:rPr>
                <w:rFonts w:cstheme="minorHAnsi"/>
                <w:b/>
              </w:rPr>
            </w:pPr>
            <w:r>
              <w:rPr>
                <w:b/>
                <w:bCs/>
                <w:color w:val="FFFFFF" w:themeColor="background1"/>
              </w:rPr>
              <w:t>Hybrid Issuer</w:t>
            </w:r>
            <w:r w:rsidR="00605597">
              <w:rPr>
                <w:b/>
                <w:bCs/>
                <w:color w:val="FFFFFF" w:themeColor="background1"/>
              </w:rPr>
              <w:t>s</w:t>
            </w:r>
          </w:p>
        </w:tc>
        <w:tc>
          <w:tcPr>
            <w:tcW w:w="1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96080"/>
            <w:vAlign w:val="center"/>
          </w:tcPr>
          <w:p w14:paraId="6E77473A" w14:textId="5EF800DA" w:rsidR="006964EF" w:rsidRDefault="006964EF" w:rsidP="00A53E91">
            <w:pPr>
              <w:spacing w:after="0" w:line="240" w:lineRule="auto"/>
              <w:rPr>
                <w:b/>
                <w:bCs/>
                <w:color w:val="FFFFFF" w:themeColor="background1"/>
              </w:rPr>
            </w:pPr>
            <w:r>
              <w:rPr>
                <w:b/>
                <w:bCs/>
                <w:color w:val="FFFFFF" w:themeColor="background1"/>
              </w:rPr>
              <w:t>White-Label Issuer</w:t>
            </w:r>
            <w:r w:rsidR="00605597">
              <w:rPr>
                <w:b/>
                <w:bCs/>
                <w:color w:val="FFFFFF" w:themeColor="background1"/>
              </w:rPr>
              <w:t>s</w:t>
            </w:r>
          </w:p>
        </w:tc>
      </w:tr>
      <w:tr w:rsidR="006964EF" w:rsidRPr="00084979" w14:paraId="66B89CEC" w14:textId="77777777" w:rsidTr="008203EC">
        <w:trPr>
          <w:cantSplit/>
          <w:trHeight w:val="525"/>
        </w:trPr>
        <w:tc>
          <w:tcPr>
            <w:tcW w:w="431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CC0CD13" w14:textId="77777777" w:rsidR="006964EF" w:rsidRPr="00A567F9" w:rsidRDefault="006964EF" w:rsidP="00A53E91">
            <w:pPr>
              <w:spacing w:before="40" w:after="0" w:line="240" w:lineRule="auto"/>
              <w:rPr>
                <w:rFonts w:eastAsia="MS Gothic" w:cstheme="minorHAnsi"/>
                <w:b/>
                <w:color w:val="2F5496"/>
              </w:rPr>
            </w:pPr>
            <w:r>
              <w:rPr>
                <w:rFonts w:ascii="Calibri" w:hAnsi="Calibri" w:cs="Calibri"/>
              </w:rPr>
              <w:t xml:space="preserve">Meet the Georgia Access UI and QHP application requirements established by the SBE and detailed within the latest </w:t>
            </w:r>
            <w:r w:rsidRPr="001D0CC4">
              <w:rPr>
                <w:rFonts w:ascii="Calibri" w:hAnsi="Calibri" w:cs="Calibri"/>
                <w:i/>
              </w:rPr>
              <w:t>Georgia Access UI Question Companion Guide</w:t>
            </w:r>
            <w:r>
              <w:rPr>
                <w:rFonts w:ascii="Calibri" w:hAnsi="Calibri" w:cs="Calibri"/>
              </w:rPr>
              <w:t xml:space="preserve"> and </w:t>
            </w:r>
            <w:r w:rsidRPr="001D0CC4">
              <w:rPr>
                <w:rFonts w:ascii="Calibri" w:hAnsi="Calibri" w:cs="Calibri"/>
                <w:i/>
              </w:rPr>
              <w:t>Georgia Access Communications Toolkit</w:t>
            </w:r>
            <w:r>
              <w:rPr>
                <w:rFonts w:ascii="Calibri" w:hAnsi="Calibri" w:cs="Calibri"/>
              </w:rPr>
              <w:t>.</w:t>
            </w:r>
          </w:p>
        </w:tc>
        <w:tc>
          <w:tcPr>
            <w:tcW w:w="1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B884F1C" w14:textId="77777777" w:rsidR="006964EF" w:rsidRPr="00B72C67" w:rsidRDefault="006964EF" w:rsidP="00A53E91">
            <w:pPr>
              <w:spacing w:before="40" w:after="0" w:line="240" w:lineRule="auto"/>
              <w:rPr>
                <w:rFonts w:eastAsiaTheme="majorEastAsia" w:cstheme="minorHAnsi"/>
                <w:bCs/>
              </w:rPr>
            </w:pPr>
            <w:r w:rsidRPr="00B72C67">
              <w:rPr>
                <w:rFonts w:eastAsiaTheme="majorEastAsia" w:cstheme="minorHAnsi"/>
                <w:bCs/>
              </w:rPr>
              <w:t>Yes</w:t>
            </w:r>
          </w:p>
        </w:tc>
        <w:tc>
          <w:tcPr>
            <w:tcW w:w="1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74FACBA" w14:textId="77777777" w:rsidR="006964EF" w:rsidRPr="00B72C67" w:rsidRDefault="006964EF" w:rsidP="00A53E91">
            <w:pPr>
              <w:spacing w:before="40" w:after="0" w:line="240" w:lineRule="auto"/>
              <w:rPr>
                <w:rFonts w:eastAsiaTheme="majorEastAsia" w:cstheme="minorHAnsi"/>
                <w:bCs/>
              </w:rPr>
            </w:pPr>
            <w:r>
              <w:rPr>
                <w:rFonts w:eastAsiaTheme="majorEastAsia" w:cstheme="minorHAnsi"/>
                <w:bCs/>
              </w:rPr>
              <w:t>No</w:t>
            </w:r>
          </w:p>
        </w:tc>
        <w:tc>
          <w:tcPr>
            <w:tcW w:w="1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6A24751" w14:textId="77777777" w:rsidR="006964EF" w:rsidRPr="00B72C67" w:rsidRDefault="006964EF" w:rsidP="00A53E91">
            <w:pPr>
              <w:spacing w:before="40" w:after="0" w:line="240" w:lineRule="auto"/>
              <w:rPr>
                <w:rFonts w:eastAsiaTheme="majorEastAsia" w:cstheme="minorHAnsi"/>
                <w:bCs/>
              </w:rPr>
            </w:pPr>
            <w:r>
              <w:rPr>
                <w:rFonts w:eastAsiaTheme="majorEastAsia" w:cstheme="minorHAnsi"/>
                <w:bCs/>
              </w:rPr>
              <w:t>No</w:t>
            </w:r>
          </w:p>
        </w:tc>
        <w:tc>
          <w:tcPr>
            <w:tcW w:w="1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A96D00E" w14:textId="77777777" w:rsidR="006964EF" w:rsidRPr="00B72C67" w:rsidRDefault="006964EF" w:rsidP="00A53E91">
            <w:pPr>
              <w:spacing w:before="40" w:after="0" w:line="240" w:lineRule="auto"/>
              <w:rPr>
                <w:rFonts w:eastAsiaTheme="majorEastAsia" w:cstheme="minorHAnsi"/>
                <w:bCs/>
              </w:rPr>
            </w:pPr>
            <w:r>
              <w:rPr>
                <w:rFonts w:eastAsiaTheme="majorEastAsia" w:cstheme="minorHAnsi"/>
                <w:bCs/>
              </w:rPr>
              <w:t>No</w:t>
            </w:r>
          </w:p>
        </w:tc>
      </w:tr>
      <w:tr w:rsidR="006964EF" w:rsidRPr="00084979" w14:paraId="42C320C0" w14:textId="77777777" w:rsidTr="008203EC">
        <w:trPr>
          <w:cantSplit/>
          <w:trHeight w:val="50"/>
        </w:trPr>
        <w:tc>
          <w:tcPr>
            <w:tcW w:w="4315" w:type="dxa"/>
            <w:tcBorders>
              <w:top w:val="single" w:sz="4" w:space="0" w:color="D9D9D9" w:themeColor="background1" w:themeShade="D9"/>
              <w:left w:val="single" w:sz="4" w:space="0" w:color="D9D9D9"/>
              <w:bottom w:val="single" w:sz="4" w:space="0" w:color="D9D9D9"/>
              <w:right w:val="single" w:sz="4" w:space="0" w:color="D9D9D9"/>
            </w:tcBorders>
            <w:vAlign w:val="center"/>
          </w:tcPr>
          <w:p w14:paraId="536902E4" w14:textId="4B3EC5CC" w:rsidR="006964EF" w:rsidRPr="00A567F9" w:rsidRDefault="006964EF" w:rsidP="00A53E91">
            <w:pPr>
              <w:spacing w:before="40" w:after="0" w:line="240" w:lineRule="auto"/>
              <w:rPr>
                <w:rFonts w:eastAsia="MS Gothic" w:cstheme="minorHAnsi"/>
                <w:b/>
                <w:color w:val="2F5496"/>
              </w:rPr>
            </w:pPr>
            <w:r w:rsidRPr="0009639E">
              <w:rPr>
                <w:rFonts w:ascii="Calibri" w:hAnsi="Calibri" w:cs="Calibri"/>
                <w:b/>
                <w:bCs/>
                <w:color w:val="000000"/>
              </w:rPr>
              <w:t xml:space="preserve">For </w:t>
            </w:r>
            <w:r w:rsidR="00992A43">
              <w:rPr>
                <w:rFonts w:ascii="Calibri" w:hAnsi="Calibri" w:cs="Calibri"/>
                <w:b/>
                <w:bCs/>
                <w:color w:val="000000"/>
              </w:rPr>
              <w:t>U</w:t>
            </w:r>
            <w:r w:rsidRPr="0009639E">
              <w:rPr>
                <w:rFonts w:ascii="Calibri" w:hAnsi="Calibri" w:cs="Calibri"/>
                <w:b/>
                <w:bCs/>
                <w:color w:val="000000"/>
              </w:rPr>
              <w:t xml:space="preserve">pstream </w:t>
            </w:r>
            <w:r w:rsidR="00992A43">
              <w:rPr>
                <w:rFonts w:ascii="Calibri" w:hAnsi="Calibri" w:cs="Calibri"/>
                <w:b/>
                <w:bCs/>
                <w:color w:val="000000"/>
              </w:rPr>
              <w:t>E</w:t>
            </w:r>
            <w:r w:rsidRPr="0009639E">
              <w:rPr>
                <w:rFonts w:ascii="Calibri" w:hAnsi="Calibri" w:cs="Calibri"/>
                <w:b/>
                <w:bCs/>
                <w:color w:val="000000"/>
              </w:rPr>
              <w:t>ntities:</w:t>
            </w:r>
            <w:r>
              <w:rPr>
                <w:rFonts w:ascii="Calibri" w:hAnsi="Calibri" w:cs="Calibri"/>
                <w:color w:val="000000"/>
              </w:rPr>
              <w:t xml:space="preserve"> </w:t>
            </w:r>
            <w:r w:rsidR="008D4C8C">
              <w:rPr>
                <w:rFonts w:ascii="Calibri" w:hAnsi="Calibri" w:cs="Calibri"/>
                <w:color w:val="000000"/>
              </w:rPr>
              <w:t>C</w:t>
            </w:r>
            <w:r>
              <w:rPr>
                <w:rFonts w:ascii="Calibri" w:hAnsi="Calibri" w:cs="Calibri"/>
                <w:color w:val="000000"/>
              </w:rPr>
              <w:t xml:space="preserve">onfirm that the primary entity meets the Georgia Access UI and QHP application requirements established by the SBE and detailed within the latest </w:t>
            </w:r>
            <w:r w:rsidRPr="001D0CC4">
              <w:rPr>
                <w:rFonts w:ascii="Calibri" w:hAnsi="Calibri" w:cs="Calibri"/>
                <w:i/>
                <w:color w:val="000000"/>
              </w:rPr>
              <w:t>Georgia Access UI Companion Guide</w:t>
            </w:r>
            <w:r>
              <w:rPr>
                <w:rFonts w:ascii="Calibri" w:hAnsi="Calibri" w:cs="Calibri"/>
                <w:color w:val="000000"/>
              </w:rPr>
              <w:t xml:space="preserve"> and </w:t>
            </w:r>
            <w:r w:rsidRPr="001D0CC4">
              <w:rPr>
                <w:rFonts w:ascii="Calibri" w:hAnsi="Calibri" w:cs="Calibri"/>
                <w:i/>
                <w:iCs/>
                <w:color w:val="000000"/>
              </w:rPr>
              <w:t xml:space="preserve">Georgia Access </w:t>
            </w:r>
            <w:r w:rsidRPr="001D0CC4">
              <w:rPr>
                <w:rFonts w:ascii="Calibri" w:hAnsi="Calibri" w:cs="Calibri"/>
                <w:i/>
                <w:color w:val="000000"/>
              </w:rPr>
              <w:t>Communications Toolkit</w:t>
            </w:r>
            <w:r>
              <w:rPr>
                <w:rFonts w:ascii="Calibri" w:hAnsi="Calibri" w:cs="Calibri"/>
              </w:rPr>
              <w:t>.</w:t>
            </w:r>
          </w:p>
        </w:tc>
        <w:tc>
          <w:tcPr>
            <w:tcW w:w="1260" w:type="dxa"/>
            <w:tcBorders>
              <w:top w:val="single" w:sz="4" w:space="0" w:color="D9D9D9" w:themeColor="background1" w:themeShade="D9"/>
              <w:left w:val="single" w:sz="4" w:space="0" w:color="D9D9D9"/>
              <w:bottom w:val="single" w:sz="4" w:space="0" w:color="D9D9D9"/>
              <w:right w:val="single" w:sz="4" w:space="0" w:color="D9D9D9"/>
            </w:tcBorders>
            <w:vAlign w:val="center"/>
          </w:tcPr>
          <w:p w14:paraId="7EA0DA03" w14:textId="77777777" w:rsidR="006964EF" w:rsidRPr="00B72C67" w:rsidRDefault="006964EF" w:rsidP="00A53E91">
            <w:pPr>
              <w:spacing w:before="40" w:after="0" w:line="240" w:lineRule="auto"/>
              <w:rPr>
                <w:rFonts w:eastAsiaTheme="majorEastAsia" w:cstheme="minorHAnsi"/>
                <w:bCs/>
              </w:rPr>
            </w:pPr>
            <w:r>
              <w:rPr>
                <w:rFonts w:eastAsiaTheme="majorEastAsia" w:cstheme="minorHAnsi"/>
                <w:bCs/>
              </w:rPr>
              <w:t>No</w:t>
            </w:r>
          </w:p>
        </w:tc>
        <w:tc>
          <w:tcPr>
            <w:tcW w:w="1260" w:type="dxa"/>
            <w:tcBorders>
              <w:top w:val="single" w:sz="4" w:space="0" w:color="D9D9D9" w:themeColor="background1" w:themeShade="D9"/>
              <w:left w:val="single" w:sz="4" w:space="0" w:color="D9D9D9"/>
              <w:bottom w:val="single" w:sz="4" w:space="0" w:color="D9D9D9"/>
              <w:right w:val="single" w:sz="4" w:space="0" w:color="D9D9D9"/>
            </w:tcBorders>
            <w:vAlign w:val="center"/>
          </w:tcPr>
          <w:p w14:paraId="7BD8A896" w14:textId="77777777" w:rsidR="006964EF" w:rsidRPr="00B72C67" w:rsidRDefault="006964EF" w:rsidP="00A53E91">
            <w:pPr>
              <w:spacing w:before="40" w:after="0" w:line="240" w:lineRule="auto"/>
              <w:rPr>
                <w:rFonts w:eastAsiaTheme="majorEastAsia" w:cstheme="minorHAnsi"/>
                <w:bCs/>
              </w:rPr>
            </w:pPr>
            <w:r w:rsidRPr="00B72C67">
              <w:rPr>
                <w:rFonts w:eastAsiaTheme="majorEastAsia" w:cstheme="minorHAnsi"/>
                <w:bCs/>
              </w:rPr>
              <w:t>Yes</w:t>
            </w:r>
          </w:p>
        </w:tc>
        <w:tc>
          <w:tcPr>
            <w:tcW w:w="1260" w:type="dxa"/>
            <w:tcBorders>
              <w:top w:val="single" w:sz="4" w:space="0" w:color="D9D9D9" w:themeColor="background1" w:themeShade="D9"/>
              <w:left w:val="single" w:sz="4" w:space="0" w:color="D9D9D9"/>
              <w:bottom w:val="single" w:sz="4" w:space="0" w:color="D9D9D9"/>
              <w:right w:val="single" w:sz="4" w:space="0" w:color="D9D9D9"/>
            </w:tcBorders>
            <w:vAlign w:val="center"/>
          </w:tcPr>
          <w:p w14:paraId="41C87A4E" w14:textId="77777777" w:rsidR="006964EF" w:rsidRPr="00B72C67" w:rsidRDefault="006964EF" w:rsidP="00A53E91">
            <w:pPr>
              <w:spacing w:before="40" w:after="0" w:line="240" w:lineRule="auto"/>
              <w:rPr>
                <w:rFonts w:eastAsiaTheme="majorEastAsia" w:cstheme="minorHAnsi"/>
                <w:bCs/>
              </w:rPr>
            </w:pPr>
            <w:r w:rsidRPr="00B72C67">
              <w:rPr>
                <w:rFonts w:eastAsiaTheme="majorEastAsia" w:cstheme="minorHAnsi"/>
                <w:bCs/>
              </w:rPr>
              <w:t>Yes</w:t>
            </w:r>
          </w:p>
        </w:tc>
        <w:tc>
          <w:tcPr>
            <w:tcW w:w="1260" w:type="dxa"/>
            <w:tcBorders>
              <w:top w:val="single" w:sz="4" w:space="0" w:color="D9D9D9" w:themeColor="background1" w:themeShade="D9"/>
              <w:left w:val="single" w:sz="4" w:space="0" w:color="D9D9D9"/>
              <w:bottom w:val="single" w:sz="4" w:space="0" w:color="D9D9D9"/>
              <w:right w:val="single" w:sz="4" w:space="0" w:color="D9D9D9"/>
            </w:tcBorders>
            <w:vAlign w:val="center"/>
          </w:tcPr>
          <w:p w14:paraId="4308C6E5" w14:textId="77777777" w:rsidR="006964EF" w:rsidRDefault="006964EF" w:rsidP="00A53E91">
            <w:pPr>
              <w:spacing w:before="40" w:after="0" w:line="240" w:lineRule="auto"/>
              <w:rPr>
                <w:rFonts w:eastAsiaTheme="majorEastAsia" w:cstheme="minorHAnsi"/>
                <w:bCs/>
              </w:rPr>
            </w:pPr>
            <w:r>
              <w:rPr>
                <w:rFonts w:eastAsiaTheme="majorEastAsia" w:cstheme="minorHAnsi"/>
                <w:bCs/>
              </w:rPr>
              <w:t>Yes</w:t>
            </w:r>
          </w:p>
        </w:tc>
      </w:tr>
    </w:tbl>
    <w:p w14:paraId="56EE2719" w14:textId="519CDB50" w:rsidR="00D91855" w:rsidRDefault="00D91855" w:rsidP="00A53E91">
      <w:pPr>
        <w:pStyle w:val="Heading4"/>
        <w:spacing w:before="160" w:line="240" w:lineRule="auto"/>
      </w:pPr>
      <w:r>
        <w:t>Privacy &amp; Security Requirements</w:t>
      </w:r>
    </w:p>
    <w:p w14:paraId="658C8950" w14:textId="53EEF429" w:rsidR="00CC700E" w:rsidRPr="00CC700E" w:rsidRDefault="00CC700E" w:rsidP="00A53E91">
      <w:pPr>
        <w:spacing w:line="240" w:lineRule="auto"/>
      </w:pPr>
      <w:r w:rsidRPr="00CC700E">
        <w:t>The following table lists all privacy and security requirements and their applicability to primary EDE entities, hybrid non-issuers, hybrid issuers, and white-label issuers.</w:t>
      </w:r>
    </w:p>
    <w:tbl>
      <w:tblPr>
        <w:tblStyle w:val="TableGrid8"/>
        <w:tblW w:w="935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4315"/>
        <w:gridCol w:w="1260"/>
        <w:gridCol w:w="1260"/>
        <w:gridCol w:w="1260"/>
        <w:gridCol w:w="1260"/>
      </w:tblGrid>
      <w:tr w:rsidR="00492842" w:rsidRPr="00CC700E" w14:paraId="5E1AC4D5" w14:textId="77777777" w:rsidTr="008203EC">
        <w:trPr>
          <w:cantSplit/>
          <w:tblHeader/>
        </w:trPr>
        <w:tc>
          <w:tcPr>
            <w:tcW w:w="4315" w:type="dxa"/>
            <w:vMerge w:val="restart"/>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096080"/>
            <w:vAlign w:val="center"/>
          </w:tcPr>
          <w:p w14:paraId="5B7CB00E" w14:textId="77777777" w:rsidR="00CC700E" w:rsidRPr="00CC700E" w:rsidRDefault="00CC700E" w:rsidP="00A53E91">
            <w:pPr>
              <w:spacing w:beforeLines="20" w:before="48" w:after="0" w:line="240" w:lineRule="auto"/>
              <w:rPr>
                <w:b/>
                <w:bCs/>
                <w:color w:val="FFFFFF" w:themeColor="background1"/>
              </w:rPr>
            </w:pPr>
            <w:r w:rsidRPr="00CC700E">
              <w:rPr>
                <w:b/>
                <w:bCs/>
                <w:color w:val="FFFFFF" w:themeColor="background1"/>
              </w:rPr>
              <w:lastRenderedPageBreak/>
              <w:t>Requirement</w:t>
            </w:r>
          </w:p>
        </w:tc>
        <w:tc>
          <w:tcPr>
            <w:tcW w:w="5040"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96080"/>
          </w:tcPr>
          <w:p w14:paraId="597AFBCD" w14:textId="77777777" w:rsidR="00CC700E" w:rsidRPr="00CC700E" w:rsidRDefault="00CC700E" w:rsidP="00A53E91">
            <w:pPr>
              <w:spacing w:beforeLines="20" w:before="48" w:after="0" w:line="240" w:lineRule="auto"/>
              <w:rPr>
                <w:b/>
                <w:bCs/>
                <w:color w:val="FFFFFF" w:themeColor="background1"/>
              </w:rPr>
            </w:pPr>
            <w:r w:rsidRPr="00CC700E">
              <w:rPr>
                <w:b/>
                <w:bCs/>
                <w:color w:val="FFFFFF" w:themeColor="background1"/>
              </w:rPr>
              <w:t>Applicable to:</w:t>
            </w:r>
          </w:p>
        </w:tc>
      </w:tr>
      <w:tr w:rsidR="00E11364" w:rsidRPr="00CC700E" w14:paraId="6452A89D" w14:textId="77777777" w:rsidTr="008203EC">
        <w:trPr>
          <w:cantSplit/>
          <w:tblHeader/>
        </w:trPr>
        <w:tc>
          <w:tcPr>
            <w:tcW w:w="4315" w:type="dxa"/>
            <w:vMerge/>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96080"/>
            <w:hideMark/>
          </w:tcPr>
          <w:p w14:paraId="43FE05A8" w14:textId="77777777" w:rsidR="00CC700E" w:rsidRPr="00CC700E" w:rsidRDefault="00CC700E" w:rsidP="00A53E91">
            <w:pPr>
              <w:spacing w:beforeLines="20" w:before="48" w:after="0" w:line="240" w:lineRule="auto"/>
              <w:rPr>
                <w:b/>
                <w:bCs/>
                <w:color w:val="FFFFFF" w:themeColor="background1"/>
              </w:rPr>
            </w:pPr>
          </w:p>
        </w:tc>
        <w:tc>
          <w:tcPr>
            <w:tcW w:w="1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96080"/>
            <w:vAlign w:val="center"/>
            <w:hideMark/>
          </w:tcPr>
          <w:p w14:paraId="032BD58D" w14:textId="035F883D" w:rsidR="00CC700E" w:rsidRPr="00CC700E" w:rsidRDefault="00CC700E" w:rsidP="00A53E91">
            <w:pPr>
              <w:spacing w:beforeLines="20" w:before="48" w:after="0" w:line="240" w:lineRule="auto"/>
              <w:rPr>
                <w:b/>
                <w:bCs/>
                <w:color w:val="FFFFFF" w:themeColor="background1"/>
              </w:rPr>
            </w:pPr>
            <w:r w:rsidRPr="00CC700E">
              <w:rPr>
                <w:b/>
                <w:bCs/>
                <w:color w:val="FFFFFF" w:themeColor="background1"/>
              </w:rPr>
              <w:t>Primary EDE</w:t>
            </w:r>
            <w:r w:rsidR="00605597">
              <w:rPr>
                <w:b/>
                <w:bCs/>
                <w:color w:val="FFFFFF" w:themeColor="background1"/>
              </w:rPr>
              <w:t xml:space="preserve"> Entities</w:t>
            </w:r>
          </w:p>
        </w:tc>
        <w:tc>
          <w:tcPr>
            <w:tcW w:w="1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96080"/>
            <w:vAlign w:val="center"/>
            <w:hideMark/>
          </w:tcPr>
          <w:p w14:paraId="43AC3BB1" w14:textId="74C33846" w:rsidR="00CC700E" w:rsidRPr="00CC700E" w:rsidRDefault="00CC700E" w:rsidP="00A53E91">
            <w:pPr>
              <w:spacing w:beforeLines="20" w:before="48" w:after="0" w:line="240" w:lineRule="auto"/>
              <w:rPr>
                <w:b/>
                <w:bCs/>
                <w:color w:val="FFFFFF" w:themeColor="background1"/>
              </w:rPr>
            </w:pPr>
            <w:r w:rsidRPr="00CC700E">
              <w:rPr>
                <w:b/>
                <w:bCs/>
                <w:color w:val="FFFFFF" w:themeColor="background1"/>
              </w:rPr>
              <w:t xml:space="preserve">Hybrid </w:t>
            </w:r>
            <w:proofErr w:type="gramStart"/>
            <w:r w:rsidRPr="00CC700E">
              <w:rPr>
                <w:b/>
                <w:bCs/>
                <w:color w:val="FFFFFF" w:themeColor="background1"/>
              </w:rPr>
              <w:t>Non-Issuer</w:t>
            </w:r>
            <w:r w:rsidR="00605597">
              <w:rPr>
                <w:b/>
                <w:bCs/>
                <w:color w:val="FFFFFF" w:themeColor="background1"/>
              </w:rPr>
              <w:t>s</w:t>
            </w:r>
            <w:proofErr w:type="gramEnd"/>
          </w:p>
        </w:tc>
        <w:tc>
          <w:tcPr>
            <w:tcW w:w="1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96080"/>
            <w:vAlign w:val="center"/>
          </w:tcPr>
          <w:p w14:paraId="417ADB5B" w14:textId="756AA1F4" w:rsidR="00CC700E" w:rsidRPr="00CC700E" w:rsidRDefault="00CC700E" w:rsidP="00A53E91">
            <w:pPr>
              <w:spacing w:beforeLines="20" w:before="48" w:after="0" w:line="240" w:lineRule="auto"/>
              <w:rPr>
                <w:b/>
                <w:bCs/>
                <w:color w:val="FFFFFF" w:themeColor="background1"/>
              </w:rPr>
            </w:pPr>
            <w:r w:rsidRPr="00CC700E">
              <w:rPr>
                <w:b/>
                <w:bCs/>
                <w:color w:val="FFFFFF" w:themeColor="background1"/>
              </w:rPr>
              <w:t>Hybrid Issuer</w:t>
            </w:r>
            <w:r w:rsidR="00605597">
              <w:rPr>
                <w:b/>
                <w:bCs/>
                <w:color w:val="FFFFFF" w:themeColor="background1"/>
              </w:rPr>
              <w:t>s</w:t>
            </w:r>
          </w:p>
        </w:tc>
        <w:tc>
          <w:tcPr>
            <w:tcW w:w="1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96080"/>
            <w:vAlign w:val="center"/>
          </w:tcPr>
          <w:p w14:paraId="213E0BAD" w14:textId="1881E93E" w:rsidR="00CC700E" w:rsidRPr="00CC700E" w:rsidRDefault="00CC700E" w:rsidP="00A53E91">
            <w:pPr>
              <w:spacing w:beforeLines="20" w:before="48" w:after="0" w:line="240" w:lineRule="auto"/>
              <w:rPr>
                <w:b/>
                <w:bCs/>
                <w:color w:val="FFFFFF" w:themeColor="background1"/>
              </w:rPr>
            </w:pPr>
            <w:r w:rsidRPr="00CC700E">
              <w:rPr>
                <w:b/>
                <w:bCs/>
                <w:color w:val="FFFFFF" w:themeColor="background1"/>
              </w:rPr>
              <w:t>White-Label Issuer</w:t>
            </w:r>
            <w:r w:rsidR="00605597">
              <w:rPr>
                <w:b/>
                <w:bCs/>
                <w:color w:val="FFFFFF" w:themeColor="background1"/>
              </w:rPr>
              <w:t>s</w:t>
            </w:r>
          </w:p>
        </w:tc>
      </w:tr>
      <w:tr w:rsidR="00CC700E" w:rsidRPr="00CC700E" w14:paraId="24F692CD" w14:textId="77777777" w:rsidTr="008203EC">
        <w:trPr>
          <w:cantSplit/>
        </w:trPr>
        <w:tc>
          <w:tcPr>
            <w:tcW w:w="431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21B74C9" w14:textId="77777777" w:rsidR="00CC700E" w:rsidRPr="00CC700E" w:rsidRDefault="00CC700E" w:rsidP="00A53E91">
            <w:pPr>
              <w:spacing w:beforeLines="20" w:before="48" w:after="0" w:line="240" w:lineRule="auto"/>
            </w:pPr>
            <w:r w:rsidRPr="00CC700E">
              <w:t>Sign an SBE Business Associate Agreement (BAA) with the SBE for data sharing and systems integration.</w:t>
            </w:r>
          </w:p>
        </w:tc>
        <w:tc>
          <w:tcPr>
            <w:tcW w:w="1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25C367D" w14:textId="77777777" w:rsidR="00CC700E" w:rsidRPr="00CC700E" w:rsidRDefault="00CC700E" w:rsidP="00A53E91">
            <w:pPr>
              <w:spacing w:beforeLines="20" w:before="48" w:after="0" w:line="240" w:lineRule="auto"/>
              <w:rPr>
                <w:iCs/>
              </w:rPr>
            </w:pPr>
            <w:r w:rsidRPr="00CC700E">
              <w:rPr>
                <w:iCs/>
              </w:rPr>
              <w:t>Yes</w:t>
            </w:r>
          </w:p>
        </w:tc>
        <w:tc>
          <w:tcPr>
            <w:tcW w:w="1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6A3095E" w14:textId="77777777" w:rsidR="00CC700E" w:rsidRPr="00CC700E" w:rsidRDefault="00CC700E" w:rsidP="00A53E91">
            <w:pPr>
              <w:spacing w:beforeLines="20" w:before="48" w:after="0" w:line="240" w:lineRule="auto"/>
              <w:rPr>
                <w:iCs/>
              </w:rPr>
            </w:pPr>
            <w:r w:rsidRPr="00CC700E">
              <w:rPr>
                <w:iCs/>
              </w:rPr>
              <w:t>Yes</w:t>
            </w:r>
          </w:p>
        </w:tc>
        <w:tc>
          <w:tcPr>
            <w:tcW w:w="1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7AB1837" w14:textId="77777777" w:rsidR="00CC700E" w:rsidRPr="00CC700E" w:rsidRDefault="00CC700E" w:rsidP="00A53E91">
            <w:pPr>
              <w:spacing w:beforeLines="20" w:before="48" w:after="0" w:line="240" w:lineRule="auto"/>
              <w:rPr>
                <w:iCs/>
              </w:rPr>
            </w:pPr>
            <w:r w:rsidRPr="00CC700E">
              <w:rPr>
                <w:iCs/>
              </w:rPr>
              <w:t>Yes</w:t>
            </w:r>
          </w:p>
        </w:tc>
        <w:tc>
          <w:tcPr>
            <w:tcW w:w="1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9CCE83F" w14:textId="77777777" w:rsidR="00CC700E" w:rsidRPr="00CC700E" w:rsidRDefault="00CC700E" w:rsidP="00A53E91">
            <w:pPr>
              <w:spacing w:beforeLines="20" w:before="48" w:after="0" w:line="240" w:lineRule="auto"/>
              <w:rPr>
                <w:iCs/>
              </w:rPr>
            </w:pPr>
            <w:r w:rsidRPr="00CC700E">
              <w:rPr>
                <w:iCs/>
              </w:rPr>
              <w:t>Yes</w:t>
            </w:r>
          </w:p>
        </w:tc>
      </w:tr>
      <w:tr w:rsidR="00CC700E" w:rsidRPr="00CC700E" w14:paraId="7B1BA674" w14:textId="77777777" w:rsidTr="008203EC">
        <w:trPr>
          <w:cantSplit/>
        </w:trPr>
        <w:tc>
          <w:tcPr>
            <w:tcW w:w="431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26A9B1D" w14:textId="77777777" w:rsidR="00CC700E" w:rsidRPr="00CC700E" w:rsidRDefault="00CC700E" w:rsidP="00A53E91">
            <w:pPr>
              <w:spacing w:beforeLines="20" w:before="48" w:after="0" w:line="240" w:lineRule="auto"/>
            </w:pPr>
            <w:r w:rsidRPr="00CC700E">
              <w:t>Remain in compliance with all CMS EDE privacy and security requirements.</w:t>
            </w:r>
          </w:p>
        </w:tc>
        <w:tc>
          <w:tcPr>
            <w:tcW w:w="1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ECD7CCD" w14:textId="77777777" w:rsidR="00CC700E" w:rsidRPr="00CC700E" w:rsidRDefault="00CC700E" w:rsidP="00A53E91">
            <w:pPr>
              <w:spacing w:beforeLines="20" w:before="48" w:after="0" w:line="240" w:lineRule="auto"/>
              <w:rPr>
                <w:iCs/>
              </w:rPr>
            </w:pPr>
            <w:r w:rsidRPr="00CC700E">
              <w:rPr>
                <w:iCs/>
              </w:rPr>
              <w:t>Yes</w:t>
            </w:r>
          </w:p>
        </w:tc>
        <w:tc>
          <w:tcPr>
            <w:tcW w:w="1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C39B96F" w14:textId="77777777" w:rsidR="00CC700E" w:rsidRPr="00CC700E" w:rsidRDefault="00CC700E" w:rsidP="00A53E91">
            <w:pPr>
              <w:spacing w:beforeLines="20" w:before="48" w:after="0" w:line="240" w:lineRule="auto"/>
              <w:rPr>
                <w:iCs/>
              </w:rPr>
            </w:pPr>
            <w:r w:rsidRPr="00CC700E">
              <w:rPr>
                <w:iCs/>
              </w:rPr>
              <w:t>Yes</w:t>
            </w:r>
          </w:p>
        </w:tc>
        <w:tc>
          <w:tcPr>
            <w:tcW w:w="1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D8BC5FF" w14:textId="77777777" w:rsidR="00CC700E" w:rsidRPr="00CC700E" w:rsidRDefault="00CC700E" w:rsidP="00A53E91">
            <w:pPr>
              <w:spacing w:beforeLines="20" w:before="48" w:after="0" w:line="240" w:lineRule="auto"/>
              <w:rPr>
                <w:iCs/>
              </w:rPr>
            </w:pPr>
            <w:r w:rsidRPr="00CC700E">
              <w:rPr>
                <w:iCs/>
              </w:rPr>
              <w:t>Yes</w:t>
            </w:r>
          </w:p>
        </w:tc>
        <w:tc>
          <w:tcPr>
            <w:tcW w:w="1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63785FA" w14:textId="77777777" w:rsidR="00CC700E" w:rsidRPr="00CC700E" w:rsidRDefault="00CC700E" w:rsidP="00A53E91">
            <w:pPr>
              <w:spacing w:beforeLines="20" w:before="48" w:after="0" w:line="240" w:lineRule="auto"/>
              <w:rPr>
                <w:iCs/>
              </w:rPr>
            </w:pPr>
            <w:r w:rsidRPr="00CC700E">
              <w:rPr>
                <w:iCs/>
              </w:rPr>
              <w:t>No</w:t>
            </w:r>
          </w:p>
        </w:tc>
      </w:tr>
      <w:tr w:rsidR="00CC700E" w:rsidRPr="00CC700E" w14:paraId="236A2A94" w14:textId="77777777" w:rsidTr="008203EC">
        <w:trPr>
          <w:cantSplit/>
          <w:trHeight w:val="530"/>
        </w:trPr>
        <w:tc>
          <w:tcPr>
            <w:tcW w:w="431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ECD99C9" w14:textId="77777777" w:rsidR="00CC700E" w:rsidRPr="00CC700E" w:rsidRDefault="00CC700E" w:rsidP="00A53E91">
            <w:pPr>
              <w:spacing w:beforeLines="20" w:before="48" w:after="0" w:line="240" w:lineRule="auto"/>
            </w:pPr>
            <w:r w:rsidRPr="00CC700E">
              <w:t>Implement the exact same privacy and security controls for CMS environments and infrastructure to all Georgia Access environments and infrastructure.</w:t>
            </w:r>
          </w:p>
        </w:tc>
        <w:tc>
          <w:tcPr>
            <w:tcW w:w="1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091B8B7" w14:textId="77777777" w:rsidR="00CC700E" w:rsidRPr="00CC700E" w:rsidRDefault="00CC700E" w:rsidP="00A53E91">
            <w:pPr>
              <w:spacing w:beforeLines="20" w:before="48" w:after="0" w:line="240" w:lineRule="auto"/>
              <w:rPr>
                <w:iCs/>
              </w:rPr>
            </w:pPr>
            <w:r w:rsidRPr="00CC700E">
              <w:rPr>
                <w:iCs/>
              </w:rPr>
              <w:t>Yes</w:t>
            </w:r>
          </w:p>
        </w:tc>
        <w:tc>
          <w:tcPr>
            <w:tcW w:w="1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16838B2" w14:textId="77777777" w:rsidR="00CC700E" w:rsidRPr="00CC700E" w:rsidRDefault="00CC700E" w:rsidP="00A53E91">
            <w:pPr>
              <w:spacing w:beforeLines="20" w:before="48" w:after="0" w:line="240" w:lineRule="auto"/>
              <w:rPr>
                <w:iCs/>
              </w:rPr>
            </w:pPr>
            <w:r w:rsidRPr="00CC700E">
              <w:rPr>
                <w:iCs/>
              </w:rPr>
              <w:t>Yes</w:t>
            </w:r>
          </w:p>
        </w:tc>
        <w:tc>
          <w:tcPr>
            <w:tcW w:w="1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653D3F1" w14:textId="77777777" w:rsidR="00CC700E" w:rsidRPr="00CC700E" w:rsidRDefault="00CC700E" w:rsidP="00A53E91">
            <w:pPr>
              <w:spacing w:beforeLines="20" w:before="48" w:after="0" w:line="240" w:lineRule="auto"/>
              <w:rPr>
                <w:iCs/>
              </w:rPr>
            </w:pPr>
            <w:r w:rsidRPr="00CC700E">
              <w:rPr>
                <w:iCs/>
              </w:rPr>
              <w:t>Yes</w:t>
            </w:r>
          </w:p>
        </w:tc>
        <w:tc>
          <w:tcPr>
            <w:tcW w:w="1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8F67EC4" w14:textId="77777777" w:rsidR="00CC700E" w:rsidRPr="00CC700E" w:rsidRDefault="00CC700E" w:rsidP="00A53E91">
            <w:pPr>
              <w:spacing w:beforeLines="20" w:before="48" w:after="0" w:line="240" w:lineRule="auto"/>
              <w:rPr>
                <w:iCs/>
              </w:rPr>
            </w:pPr>
            <w:r w:rsidRPr="00CC700E">
              <w:rPr>
                <w:iCs/>
              </w:rPr>
              <w:t>No</w:t>
            </w:r>
          </w:p>
        </w:tc>
      </w:tr>
      <w:tr w:rsidR="00CC700E" w:rsidRPr="00CC700E" w14:paraId="5B34FA0F" w14:textId="77777777" w:rsidTr="008203EC">
        <w:trPr>
          <w:cantSplit/>
          <w:trHeight w:val="530"/>
        </w:trPr>
        <w:tc>
          <w:tcPr>
            <w:tcW w:w="431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AF02F88" w14:textId="7456638A" w:rsidR="00CC700E" w:rsidRPr="00CC700E" w:rsidRDefault="00CC700E" w:rsidP="00A53E91">
            <w:pPr>
              <w:spacing w:beforeLines="20" w:before="48" w:after="0" w:line="240" w:lineRule="auto"/>
            </w:pPr>
            <w:r w:rsidRPr="00CC700E">
              <w:t xml:space="preserve">Provide requested privacy and security documentation as outlined in the </w:t>
            </w:r>
            <w:r w:rsidRPr="00CC700E">
              <w:rPr>
                <w:i/>
              </w:rPr>
              <w:t>Georgia Access Audit Materials Guide</w:t>
            </w:r>
            <w:r w:rsidRPr="00CC700E">
              <w:t xml:space="preserve"> that </w:t>
            </w:r>
            <w:r w:rsidR="00380851">
              <w:t>is</w:t>
            </w:r>
            <w:r w:rsidRPr="00CC700E">
              <w:t xml:space="preserve"> provided to all </w:t>
            </w:r>
            <w:r w:rsidR="000A7D2B" w:rsidRPr="00CC700E">
              <w:t>entities</w:t>
            </w:r>
            <w:r w:rsidRPr="00CC700E">
              <w:t xml:space="preserve"> as part of the Georgia Access </w:t>
            </w:r>
            <w:r w:rsidR="00C41D2B">
              <w:t>ORR</w:t>
            </w:r>
            <w:r w:rsidRPr="00CC700E">
              <w:t xml:space="preserve"> Materials.</w:t>
            </w:r>
          </w:p>
        </w:tc>
        <w:tc>
          <w:tcPr>
            <w:tcW w:w="1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B5C3DFD" w14:textId="77777777" w:rsidR="00CC700E" w:rsidRPr="00CC700E" w:rsidRDefault="00CC700E" w:rsidP="00A53E91">
            <w:pPr>
              <w:spacing w:beforeLines="20" w:before="48" w:after="0" w:line="240" w:lineRule="auto"/>
              <w:rPr>
                <w:iCs/>
              </w:rPr>
            </w:pPr>
            <w:r w:rsidRPr="00CC700E">
              <w:rPr>
                <w:iCs/>
              </w:rPr>
              <w:t>Yes</w:t>
            </w:r>
          </w:p>
        </w:tc>
        <w:tc>
          <w:tcPr>
            <w:tcW w:w="1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CC2D4A0" w14:textId="77777777" w:rsidR="00CC700E" w:rsidRPr="00CC700E" w:rsidRDefault="00CC700E" w:rsidP="00A53E91">
            <w:pPr>
              <w:spacing w:beforeLines="20" w:before="48" w:after="0" w:line="240" w:lineRule="auto"/>
              <w:rPr>
                <w:iCs/>
              </w:rPr>
            </w:pPr>
            <w:r w:rsidRPr="00CC700E">
              <w:rPr>
                <w:iCs/>
              </w:rPr>
              <w:t>Yes</w:t>
            </w:r>
          </w:p>
        </w:tc>
        <w:tc>
          <w:tcPr>
            <w:tcW w:w="1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963BD11" w14:textId="77777777" w:rsidR="00CC700E" w:rsidRPr="00CC700E" w:rsidRDefault="00CC700E" w:rsidP="00A53E91">
            <w:pPr>
              <w:spacing w:beforeLines="20" w:before="48" w:after="0" w:line="240" w:lineRule="auto"/>
              <w:rPr>
                <w:iCs/>
              </w:rPr>
            </w:pPr>
            <w:r w:rsidRPr="00CC700E">
              <w:rPr>
                <w:iCs/>
              </w:rPr>
              <w:t>Yes</w:t>
            </w:r>
          </w:p>
        </w:tc>
        <w:tc>
          <w:tcPr>
            <w:tcW w:w="1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258FED4" w14:textId="77777777" w:rsidR="00CC700E" w:rsidRPr="00CC700E" w:rsidRDefault="00CC700E" w:rsidP="00A53E91">
            <w:pPr>
              <w:spacing w:beforeLines="20" w:before="48" w:after="0" w:line="240" w:lineRule="auto"/>
              <w:rPr>
                <w:iCs/>
              </w:rPr>
            </w:pPr>
            <w:r w:rsidRPr="00CC700E">
              <w:rPr>
                <w:iCs/>
              </w:rPr>
              <w:t>No</w:t>
            </w:r>
          </w:p>
        </w:tc>
      </w:tr>
      <w:tr w:rsidR="00CC700E" w:rsidRPr="00CC700E" w14:paraId="06B9AD0D" w14:textId="77777777" w:rsidTr="008203EC">
        <w:trPr>
          <w:cantSplit/>
          <w:trHeight w:val="530"/>
        </w:trPr>
        <w:tc>
          <w:tcPr>
            <w:tcW w:w="431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A69F2C9" w14:textId="77777777" w:rsidR="00CC700E" w:rsidRPr="00CC700E" w:rsidRDefault="00CC700E" w:rsidP="00A53E91">
            <w:pPr>
              <w:spacing w:beforeLines="20" w:before="48" w:after="0" w:line="240" w:lineRule="auto"/>
            </w:pPr>
            <w:r w:rsidRPr="00CC700E">
              <w:t>Provide additional information as requested to the State to demonstrate compliance with privacy and security standards and resolution of issues on Georgia Access environments.</w:t>
            </w:r>
          </w:p>
        </w:tc>
        <w:tc>
          <w:tcPr>
            <w:tcW w:w="1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D93BA9F" w14:textId="77777777" w:rsidR="00CC700E" w:rsidRPr="00CC700E" w:rsidRDefault="00CC700E" w:rsidP="00A53E91">
            <w:pPr>
              <w:spacing w:beforeLines="20" w:before="48" w:after="0" w:line="240" w:lineRule="auto"/>
              <w:rPr>
                <w:iCs/>
              </w:rPr>
            </w:pPr>
            <w:r w:rsidRPr="00CC700E">
              <w:rPr>
                <w:iCs/>
              </w:rPr>
              <w:t>Yes</w:t>
            </w:r>
          </w:p>
        </w:tc>
        <w:tc>
          <w:tcPr>
            <w:tcW w:w="1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76B490A" w14:textId="77777777" w:rsidR="00CC700E" w:rsidRPr="00CC700E" w:rsidRDefault="00CC700E" w:rsidP="00A53E91">
            <w:pPr>
              <w:spacing w:beforeLines="20" w:before="48" w:after="0" w:line="240" w:lineRule="auto"/>
              <w:rPr>
                <w:iCs/>
              </w:rPr>
            </w:pPr>
            <w:r w:rsidRPr="00CC700E">
              <w:rPr>
                <w:iCs/>
              </w:rPr>
              <w:t>Yes</w:t>
            </w:r>
          </w:p>
        </w:tc>
        <w:tc>
          <w:tcPr>
            <w:tcW w:w="1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9DDF866" w14:textId="77777777" w:rsidR="00CC700E" w:rsidRPr="00CC700E" w:rsidRDefault="00CC700E" w:rsidP="00A53E91">
            <w:pPr>
              <w:spacing w:beforeLines="20" w:before="48" w:after="0" w:line="240" w:lineRule="auto"/>
              <w:rPr>
                <w:iCs/>
              </w:rPr>
            </w:pPr>
            <w:r w:rsidRPr="00CC700E">
              <w:rPr>
                <w:iCs/>
              </w:rPr>
              <w:t>Yes</w:t>
            </w:r>
          </w:p>
        </w:tc>
        <w:tc>
          <w:tcPr>
            <w:tcW w:w="1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38F2CE1" w14:textId="77777777" w:rsidR="00CC700E" w:rsidRPr="00CC700E" w:rsidRDefault="00CC700E" w:rsidP="00A53E91">
            <w:pPr>
              <w:spacing w:beforeLines="20" w:before="48" w:after="0" w:line="240" w:lineRule="auto"/>
              <w:rPr>
                <w:iCs/>
              </w:rPr>
            </w:pPr>
            <w:r w:rsidRPr="00CC700E">
              <w:rPr>
                <w:iCs/>
              </w:rPr>
              <w:t>No</w:t>
            </w:r>
          </w:p>
        </w:tc>
      </w:tr>
      <w:tr w:rsidR="00CC700E" w:rsidRPr="00CC700E" w14:paraId="02EC3C73" w14:textId="77777777" w:rsidTr="008203EC">
        <w:trPr>
          <w:cantSplit/>
          <w:trHeight w:val="530"/>
        </w:trPr>
        <w:tc>
          <w:tcPr>
            <w:tcW w:w="431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C308220" w14:textId="3CCA27BA" w:rsidR="00CC700E" w:rsidRPr="00CC700E" w:rsidRDefault="00CC700E" w:rsidP="00A53E91">
            <w:pPr>
              <w:spacing w:beforeLines="20" w:before="48" w:after="0" w:line="240" w:lineRule="auto"/>
            </w:pPr>
            <w:r w:rsidRPr="00CC700E">
              <w:t xml:space="preserve">Notify the SBE </w:t>
            </w:r>
            <w:r w:rsidR="0002187A">
              <w:t>point of contact (</w:t>
            </w:r>
            <w:r w:rsidRPr="00CC700E">
              <w:t>POC</w:t>
            </w:r>
            <w:r w:rsidR="0002187A">
              <w:t>)</w:t>
            </w:r>
            <w:r w:rsidRPr="00CC700E">
              <w:t xml:space="preserve"> when a security or privacy incident has been identified, provide timely updates on incidents throughout the EDE's defined incident response plan and upon resolution.</w:t>
            </w:r>
          </w:p>
        </w:tc>
        <w:tc>
          <w:tcPr>
            <w:tcW w:w="1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BFCB429" w14:textId="77777777" w:rsidR="00CC700E" w:rsidRPr="00CC700E" w:rsidRDefault="00CC700E" w:rsidP="00A53E91">
            <w:pPr>
              <w:spacing w:beforeLines="20" w:before="48" w:after="0" w:line="240" w:lineRule="auto"/>
              <w:rPr>
                <w:iCs/>
              </w:rPr>
            </w:pPr>
            <w:r w:rsidRPr="00CC700E">
              <w:rPr>
                <w:iCs/>
              </w:rPr>
              <w:t>Yes</w:t>
            </w:r>
          </w:p>
        </w:tc>
        <w:tc>
          <w:tcPr>
            <w:tcW w:w="1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89834A6" w14:textId="77777777" w:rsidR="00CC700E" w:rsidRPr="00CC700E" w:rsidRDefault="00CC700E" w:rsidP="00A53E91">
            <w:pPr>
              <w:spacing w:beforeLines="20" w:before="48" w:after="0" w:line="240" w:lineRule="auto"/>
              <w:rPr>
                <w:iCs/>
              </w:rPr>
            </w:pPr>
            <w:r w:rsidRPr="00CC700E">
              <w:rPr>
                <w:iCs/>
              </w:rPr>
              <w:t>Yes (if relevant)</w:t>
            </w:r>
          </w:p>
        </w:tc>
        <w:tc>
          <w:tcPr>
            <w:tcW w:w="1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228C782" w14:textId="77777777" w:rsidR="00CC700E" w:rsidRPr="00CC700E" w:rsidRDefault="00CC700E" w:rsidP="00A53E91">
            <w:pPr>
              <w:spacing w:beforeLines="20" w:before="48" w:after="0" w:line="240" w:lineRule="auto"/>
              <w:rPr>
                <w:iCs/>
              </w:rPr>
            </w:pPr>
            <w:r w:rsidRPr="00CC700E">
              <w:rPr>
                <w:iCs/>
              </w:rPr>
              <w:t>Yes (if relevant)</w:t>
            </w:r>
          </w:p>
        </w:tc>
        <w:tc>
          <w:tcPr>
            <w:tcW w:w="1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17A7BCC" w14:textId="77777777" w:rsidR="00CC700E" w:rsidRPr="00CC700E" w:rsidRDefault="00CC700E" w:rsidP="00A53E91">
            <w:pPr>
              <w:spacing w:beforeLines="20" w:before="48" w:after="0" w:line="240" w:lineRule="auto"/>
              <w:rPr>
                <w:iCs/>
              </w:rPr>
            </w:pPr>
            <w:r w:rsidRPr="00CC700E">
              <w:rPr>
                <w:iCs/>
              </w:rPr>
              <w:t>No</w:t>
            </w:r>
          </w:p>
        </w:tc>
      </w:tr>
      <w:tr w:rsidR="00CC700E" w:rsidRPr="00CC700E" w14:paraId="67CE4C73" w14:textId="77777777" w:rsidTr="008203EC">
        <w:trPr>
          <w:cantSplit/>
          <w:trHeight w:val="323"/>
        </w:trPr>
        <w:tc>
          <w:tcPr>
            <w:tcW w:w="431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BD7AB38" w14:textId="3BC315F4" w:rsidR="00CC700E" w:rsidRPr="00CC700E" w:rsidRDefault="00CC700E" w:rsidP="00A53E91">
            <w:pPr>
              <w:spacing w:beforeLines="20" w:before="48" w:after="0" w:line="240" w:lineRule="auto"/>
            </w:pPr>
            <w:r w:rsidRPr="00CC700E">
              <w:t>Maintain a testing environment that accurately represents the Georgia Access production environment and integration with the Georgia Access Eligibility System.</w:t>
            </w:r>
          </w:p>
        </w:tc>
        <w:tc>
          <w:tcPr>
            <w:tcW w:w="1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BD059F6" w14:textId="77777777" w:rsidR="00CC700E" w:rsidRPr="00CC700E" w:rsidRDefault="00CC700E" w:rsidP="00A53E91">
            <w:pPr>
              <w:spacing w:beforeLines="20" w:before="48" w:after="0" w:line="240" w:lineRule="auto"/>
              <w:rPr>
                <w:iCs/>
              </w:rPr>
            </w:pPr>
            <w:r w:rsidRPr="00CC700E">
              <w:rPr>
                <w:iCs/>
              </w:rPr>
              <w:t>Yes</w:t>
            </w:r>
          </w:p>
        </w:tc>
        <w:tc>
          <w:tcPr>
            <w:tcW w:w="1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318224F" w14:textId="77777777" w:rsidR="00CC700E" w:rsidRPr="00CC700E" w:rsidRDefault="00CC700E" w:rsidP="00A53E91">
            <w:pPr>
              <w:spacing w:beforeLines="20" w:before="48" w:after="0" w:line="240" w:lineRule="auto"/>
              <w:rPr>
                <w:iCs/>
              </w:rPr>
            </w:pPr>
            <w:r w:rsidRPr="00CC700E">
              <w:rPr>
                <w:iCs/>
              </w:rPr>
              <w:t>Yes</w:t>
            </w:r>
          </w:p>
        </w:tc>
        <w:tc>
          <w:tcPr>
            <w:tcW w:w="1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FE918C7" w14:textId="77777777" w:rsidR="00CC700E" w:rsidRPr="00CC700E" w:rsidRDefault="00CC700E" w:rsidP="00A53E91">
            <w:pPr>
              <w:spacing w:beforeLines="20" w:before="48" w:after="0" w:line="240" w:lineRule="auto"/>
              <w:rPr>
                <w:iCs/>
              </w:rPr>
            </w:pPr>
            <w:r w:rsidRPr="00CC700E">
              <w:rPr>
                <w:iCs/>
              </w:rPr>
              <w:t>Yes</w:t>
            </w:r>
          </w:p>
        </w:tc>
        <w:tc>
          <w:tcPr>
            <w:tcW w:w="1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C68493C" w14:textId="77777777" w:rsidR="00CC700E" w:rsidRPr="00CC700E" w:rsidRDefault="00CC700E" w:rsidP="00A53E91">
            <w:pPr>
              <w:spacing w:beforeLines="20" w:before="48" w:after="0" w:line="240" w:lineRule="auto"/>
              <w:rPr>
                <w:iCs/>
              </w:rPr>
            </w:pPr>
            <w:r w:rsidRPr="00CC700E">
              <w:rPr>
                <w:iCs/>
              </w:rPr>
              <w:t>Yes</w:t>
            </w:r>
          </w:p>
        </w:tc>
      </w:tr>
      <w:tr w:rsidR="00CC700E" w:rsidRPr="00CC700E" w14:paraId="16FE1CE6" w14:textId="77777777" w:rsidTr="008203EC">
        <w:trPr>
          <w:cantSplit/>
          <w:trHeight w:val="323"/>
        </w:trPr>
        <w:tc>
          <w:tcPr>
            <w:tcW w:w="431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057C6D2" w14:textId="77777777" w:rsidR="00CC700E" w:rsidRPr="00CC700E" w:rsidRDefault="00CC700E" w:rsidP="00A53E91">
            <w:pPr>
              <w:spacing w:beforeLines="20" w:before="48" w:after="0" w:line="240" w:lineRule="auto"/>
            </w:pPr>
            <w:r w:rsidRPr="00CC700E">
              <w:t>Monitor ongoing activity and report suspicious or fraudulent activity to the SBE following SBE processes.</w:t>
            </w:r>
          </w:p>
        </w:tc>
        <w:tc>
          <w:tcPr>
            <w:tcW w:w="1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2734778" w14:textId="77777777" w:rsidR="00CC700E" w:rsidRPr="00CC700E" w:rsidRDefault="00CC700E" w:rsidP="00A53E91">
            <w:pPr>
              <w:spacing w:beforeLines="20" w:before="48" w:after="0" w:line="240" w:lineRule="auto"/>
              <w:rPr>
                <w:iCs/>
              </w:rPr>
            </w:pPr>
            <w:r w:rsidRPr="00CC700E">
              <w:rPr>
                <w:iCs/>
              </w:rPr>
              <w:t>Yes</w:t>
            </w:r>
          </w:p>
        </w:tc>
        <w:tc>
          <w:tcPr>
            <w:tcW w:w="1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B89B710" w14:textId="77777777" w:rsidR="00CC700E" w:rsidRPr="00CC700E" w:rsidRDefault="00CC700E" w:rsidP="00A53E91">
            <w:pPr>
              <w:spacing w:beforeLines="20" w:before="48" w:after="0" w:line="240" w:lineRule="auto"/>
              <w:rPr>
                <w:iCs/>
              </w:rPr>
            </w:pPr>
            <w:r w:rsidRPr="00CC700E">
              <w:rPr>
                <w:iCs/>
              </w:rPr>
              <w:t>Yes</w:t>
            </w:r>
          </w:p>
        </w:tc>
        <w:tc>
          <w:tcPr>
            <w:tcW w:w="1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D40AD03" w14:textId="77777777" w:rsidR="00CC700E" w:rsidRPr="00CC700E" w:rsidRDefault="00CC700E" w:rsidP="00A53E91">
            <w:pPr>
              <w:spacing w:beforeLines="20" w:before="48" w:after="0" w:line="240" w:lineRule="auto"/>
              <w:rPr>
                <w:iCs/>
              </w:rPr>
            </w:pPr>
            <w:r w:rsidRPr="00CC700E">
              <w:rPr>
                <w:iCs/>
              </w:rPr>
              <w:t>Yes</w:t>
            </w:r>
          </w:p>
        </w:tc>
        <w:tc>
          <w:tcPr>
            <w:tcW w:w="1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53A41E1" w14:textId="77777777" w:rsidR="00CC700E" w:rsidRPr="00CC700E" w:rsidRDefault="00CC700E" w:rsidP="00A53E91">
            <w:pPr>
              <w:spacing w:beforeLines="20" w:before="48" w:after="0" w:line="240" w:lineRule="auto"/>
              <w:rPr>
                <w:iCs/>
              </w:rPr>
            </w:pPr>
            <w:r w:rsidRPr="00CC700E">
              <w:rPr>
                <w:iCs/>
              </w:rPr>
              <w:t>Yes</w:t>
            </w:r>
          </w:p>
        </w:tc>
      </w:tr>
    </w:tbl>
    <w:p w14:paraId="2D4D62AD" w14:textId="43A0D3CB" w:rsidR="00D117D4" w:rsidRDefault="00D117D4" w:rsidP="00A53E91">
      <w:pPr>
        <w:pStyle w:val="Heading2"/>
        <w:spacing w:before="160" w:line="240" w:lineRule="auto"/>
      </w:pPr>
      <w:bookmarkStart w:id="47" w:name="_Toc155798379"/>
      <w:bookmarkStart w:id="48" w:name="_Toc209003037"/>
      <w:bookmarkEnd w:id="47"/>
      <w:r>
        <w:t>Initial Application and Certification</w:t>
      </w:r>
      <w:bookmarkEnd w:id="48"/>
    </w:p>
    <w:p w14:paraId="38443B24" w14:textId="032EE254" w:rsidR="00BF132F" w:rsidRPr="00BF132F" w:rsidRDefault="00BF132F" w:rsidP="00A53E91">
      <w:pPr>
        <w:spacing w:line="240" w:lineRule="auto"/>
      </w:pPr>
      <w:r>
        <w:t>This section outlines the policies for initial EDE Partner certification in Georgia Access</w:t>
      </w:r>
      <w:r w:rsidR="0002422F">
        <w:t>.</w:t>
      </w:r>
    </w:p>
    <w:p w14:paraId="483DB688" w14:textId="6318BC02" w:rsidR="00D273D7" w:rsidRDefault="00D273D7" w:rsidP="00A53E91">
      <w:pPr>
        <w:pStyle w:val="Heading3"/>
        <w:spacing w:line="240" w:lineRule="auto"/>
      </w:pPr>
      <w:bookmarkStart w:id="49" w:name="_EDE_Partner_Application"/>
      <w:bookmarkStart w:id="50" w:name="_Toc209003038"/>
      <w:bookmarkEnd w:id="49"/>
      <w:r>
        <w:t>EDE Partner Application Release and Acceptance</w:t>
      </w:r>
      <w:bookmarkEnd w:id="50"/>
    </w:p>
    <w:p w14:paraId="7E296324" w14:textId="47993700" w:rsidR="00197B5B" w:rsidRDefault="00197B5B" w:rsidP="00A53E91">
      <w:pPr>
        <w:pStyle w:val="Heading4"/>
        <w:spacing w:line="240" w:lineRule="auto"/>
      </w:pPr>
      <w:r>
        <w:t>Initial Application Release</w:t>
      </w:r>
    </w:p>
    <w:p w14:paraId="00E9CCDD" w14:textId="247228F0" w:rsidR="00706E61" w:rsidRDefault="00B343A8" w:rsidP="00A53E91">
      <w:pPr>
        <w:spacing w:line="240" w:lineRule="auto"/>
      </w:pPr>
      <w:r>
        <w:t>The first step to participate in Georgia Access is the s</w:t>
      </w:r>
      <w:r w:rsidR="00706E61">
        <w:t>ubmission of an EDE Partner application to Georgia Access</w:t>
      </w:r>
      <w:r>
        <w:t xml:space="preserve">. </w:t>
      </w:r>
      <w:r w:rsidR="00706E61">
        <w:t>The EDE Partner application:</w:t>
      </w:r>
    </w:p>
    <w:p w14:paraId="2464DB08" w14:textId="1B4B10DF" w:rsidR="00706E61" w:rsidRDefault="00706E61" w:rsidP="008E39B8">
      <w:pPr>
        <w:pStyle w:val="ListParagraph"/>
        <w:numPr>
          <w:ilvl w:val="0"/>
          <w:numId w:val="7"/>
        </w:numPr>
        <w:spacing w:line="240" w:lineRule="auto"/>
      </w:pPr>
      <w:r>
        <w:t xml:space="preserve">Serves as an indication to </w:t>
      </w:r>
      <w:r w:rsidR="00C31CC4">
        <w:t>Georgia Access</w:t>
      </w:r>
      <w:r>
        <w:t xml:space="preserve"> that the applicant intends to seek certification as an EDE Partner for the upcoming OE </w:t>
      </w:r>
      <w:r w:rsidR="000F6A68">
        <w:t>P</w:t>
      </w:r>
      <w:r>
        <w:t>eriod.</w:t>
      </w:r>
    </w:p>
    <w:p w14:paraId="4C3383D8" w14:textId="030AE37F" w:rsidR="00706E61" w:rsidRDefault="00706E61" w:rsidP="008E39B8">
      <w:pPr>
        <w:pStyle w:val="ListParagraph"/>
        <w:numPr>
          <w:ilvl w:val="0"/>
          <w:numId w:val="7"/>
        </w:numPr>
        <w:spacing w:line="240" w:lineRule="auto"/>
      </w:pPr>
      <w:proofErr w:type="gramStart"/>
      <w:r>
        <w:lastRenderedPageBreak/>
        <w:t>Is</w:t>
      </w:r>
      <w:proofErr w:type="gramEnd"/>
      <w:r>
        <w:t xml:space="preserve"> a non-binding document that does not guarantee EDE Partner approval or certification. The applicant or the SBE may delay or </w:t>
      </w:r>
      <w:r w:rsidR="00C06892">
        <w:t>end the applicant’s participation in the certification process</w:t>
      </w:r>
      <w:r>
        <w:t xml:space="preserve"> at any point prior to certification (refer to </w:t>
      </w:r>
      <w:hyperlink w:anchor="_EDE_Partner-Initiated_Delay" w:history="1">
        <w:r w:rsidR="001F3FEE">
          <w:rPr>
            <w:rStyle w:val="Hyperlink"/>
            <w:i/>
            <w:iCs/>
          </w:rPr>
          <w:t>Section 2.4.3 EDE Partner-Initiated Delay</w:t>
        </w:r>
      </w:hyperlink>
      <w:r>
        <w:t xml:space="preserve"> and </w:t>
      </w:r>
      <w:hyperlink w:anchor="_EDE_Partner-Initiated_Withdrawal" w:history="1">
        <w:r w:rsidR="003465DA">
          <w:rPr>
            <w:rStyle w:val="Hyperlink"/>
            <w:i/>
            <w:iCs/>
          </w:rPr>
          <w:t>Section 2.4.4 EDE Partner-Initiated Withdrawal</w:t>
        </w:r>
      </w:hyperlink>
      <w:r>
        <w:t xml:space="preserve"> for more details). Failure to submit required information as directed, participate in technology and</w:t>
      </w:r>
      <w:r w:rsidR="00624692">
        <w:t>/or</w:t>
      </w:r>
      <w:r>
        <w:t xml:space="preserve"> program sessions, or successfully pass ORRs may result in certification delay or denial.</w:t>
      </w:r>
    </w:p>
    <w:p w14:paraId="4AD221E7" w14:textId="30E89977" w:rsidR="00706E61" w:rsidRDefault="00706E61" w:rsidP="00A53E91">
      <w:pPr>
        <w:spacing w:line="240" w:lineRule="auto"/>
      </w:pPr>
      <w:r>
        <w:t xml:space="preserve">Each year, </w:t>
      </w:r>
      <w:r w:rsidR="00A20F80">
        <w:t xml:space="preserve">Georgia Access </w:t>
      </w:r>
      <w:r w:rsidR="00301821">
        <w:t>post</w:t>
      </w:r>
      <w:r w:rsidR="00E11996">
        <w:t>s</w:t>
      </w:r>
      <w:r w:rsidR="00301821">
        <w:t xml:space="preserve"> the latest EDE Partner application on the Georgia Access </w:t>
      </w:r>
      <w:r w:rsidR="002677B2">
        <w:t>website</w:t>
      </w:r>
      <w:r w:rsidR="008C221D">
        <w:t xml:space="preserve"> and distributes it </w:t>
      </w:r>
      <w:r w:rsidR="00957CB3">
        <w:t>via the following methods</w:t>
      </w:r>
      <w:r>
        <w:t>:</w:t>
      </w:r>
    </w:p>
    <w:p w14:paraId="087EFBBD" w14:textId="77777777" w:rsidR="00706E61" w:rsidRDefault="00706E61" w:rsidP="008E39B8">
      <w:pPr>
        <w:pStyle w:val="ListParagraph"/>
        <w:numPr>
          <w:ilvl w:val="0"/>
          <w:numId w:val="8"/>
        </w:numPr>
        <w:spacing w:line="240" w:lineRule="auto"/>
      </w:pPr>
      <w:r>
        <w:t>Posting FAQs regarding the EDE Partner application.</w:t>
      </w:r>
    </w:p>
    <w:p w14:paraId="0A8C28DA" w14:textId="77777777" w:rsidR="00706E61" w:rsidRDefault="00706E61" w:rsidP="008E39B8">
      <w:pPr>
        <w:pStyle w:val="ListParagraph"/>
        <w:numPr>
          <w:ilvl w:val="0"/>
          <w:numId w:val="8"/>
        </w:numPr>
        <w:spacing w:line="240" w:lineRule="auto"/>
      </w:pPr>
      <w:r>
        <w:t>Sending the EDE Partner application to potential participants.</w:t>
      </w:r>
    </w:p>
    <w:p w14:paraId="04DC0E2A" w14:textId="1581501D" w:rsidR="00EC5198" w:rsidRDefault="00B973B6" w:rsidP="00A53E91">
      <w:pPr>
        <w:spacing w:line="240" w:lineRule="auto"/>
      </w:pPr>
      <w:r>
        <w:t xml:space="preserve">While the application is open year-round, </w:t>
      </w:r>
      <w:r w:rsidR="00B66488">
        <w:t xml:space="preserve">EDE Partner participation for specific </w:t>
      </w:r>
      <w:r w:rsidR="00E96BB9">
        <w:t>plan year</w:t>
      </w:r>
      <w:r w:rsidR="00B66488">
        <w:t>s is determined by the date of application submission and certification progress.</w:t>
      </w:r>
      <w:r w:rsidR="003B1190">
        <w:t xml:space="preserve"> Georgia Access communicates the </w:t>
      </w:r>
      <w:r w:rsidR="0024277E">
        <w:t xml:space="preserve">application </w:t>
      </w:r>
      <w:r w:rsidR="003B1190">
        <w:t xml:space="preserve">deadlines for participation </w:t>
      </w:r>
      <w:r w:rsidR="00957049">
        <w:t>in specific plan years</w:t>
      </w:r>
      <w:r>
        <w:t xml:space="preserve"> annually.</w:t>
      </w:r>
    </w:p>
    <w:p w14:paraId="7E6045E2" w14:textId="22C6A821" w:rsidR="002771D7" w:rsidRDefault="002771D7" w:rsidP="00A53E91">
      <w:pPr>
        <w:pStyle w:val="Heading4"/>
        <w:spacing w:line="240" w:lineRule="auto"/>
      </w:pPr>
      <w:bookmarkStart w:id="51" w:name="_Application_Questions"/>
      <w:bookmarkEnd w:id="51"/>
      <w:r>
        <w:t>Application Materials</w:t>
      </w:r>
    </w:p>
    <w:p w14:paraId="0D33F4BB" w14:textId="6D6622C2" w:rsidR="00FF365C" w:rsidRDefault="000A7D2B" w:rsidP="00A53E91">
      <w:pPr>
        <w:spacing w:line="240" w:lineRule="auto"/>
        <w:rPr>
          <w:rFonts w:cstheme="minorHAnsi"/>
        </w:rPr>
      </w:pPr>
      <w:r>
        <w:rPr>
          <w:rFonts w:cstheme="minorHAnsi"/>
        </w:rPr>
        <w:t>Pr</w:t>
      </w:r>
      <w:r w:rsidR="00C007A4">
        <w:rPr>
          <w:rFonts w:cstheme="minorHAnsi"/>
        </w:rPr>
        <w:t xml:space="preserve">ospective </w:t>
      </w:r>
      <w:r w:rsidR="001C3F8B">
        <w:rPr>
          <w:rFonts w:cstheme="minorHAnsi"/>
        </w:rPr>
        <w:t xml:space="preserve">EDE </w:t>
      </w:r>
      <w:r w:rsidR="00F512BD">
        <w:rPr>
          <w:rFonts w:cstheme="minorHAnsi"/>
        </w:rPr>
        <w:t>Partner a</w:t>
      </w:r>
      <w:r w:rsidR="001C3F8B">
        <w:rPr>
          <w:rFonts w:cstheme="minorHAnsi"/>
        </w:rPr>
        <w:t xml:space="preserve">pplicants </w:t>
      </w:r>
      <w:r w:rsidR="00FF365C">
        <w:rPr>
          <w:rFonts w:cstheme="minorHAnsi"/>
        </w:rPr>
        <w:t xml:space="preserve">must submit an EDE Partner application and additional documentation attesting to </w:t>
      </w:r>
      <w:r>
        <w:rPr>
          <w:rFonts w:cstheme="minorHAnsi"/>
        </w:rPr>
        <w:t xml:space="preserve">their </w:t>
      </w:r>
      <w:r w:rsidR="00FF365C">
        <w:rPr>
          <w:rFonts w:cstheme="minorHAnsi"/>
        </w:rPr>
        <w:t>compliance with program, technical integration and testing, consumer application, and privacy and security requirements.</w:t>
      </w:r>
    </w:p>
    <w:p w14:paraId="1D406521" w14:textId="27ED4722" w:rsidR="00FF365C" w:rsidRDefault="00FF365C" w:rsidP="00A53E91">
      <w:pPr>
        <w:spacing w:line="240" w:lineRule="auto"/>
        <w:rPr>
          <w:rFonts w:cstheme="minorHAnsi"/>
        </w:rPr>
      </w:pPr>
      <w:r>
        <w:rPr>
          <w:rFonts w:cstheme="minorHAnsi"/>
        </w:rPr>
        <w:t>Each EDE Partner type has its own required application materials:</w:t>
      </w:r>
    </w:p>
    <w:p w14:paraId="4A74697F" w14:textId="5FFE186D" w:rsidR="00FF365C" w:rsidRDefault="00FF365C" w:rsidP="008E39B8">
      <w:pPr>
        <w:pStyle w:val="ListParagraph"/>
        <w:numPr>
          <w:ilvl w:val="0"/>
          <w:numId w:val="9"/>
        </w:numPr>
        <w:spacing w:line="240" w:lineRule="auto"/>
        <w:rPr>
          <w:rFonts w:cstheme="minorHAnsi"/>
        </w:rPr>
      </w:pPr>
      <w:r>
        <w:rPr>
          <w:rFonts w:cstheme="minorHAnsi"/>
        </w:rPr>
        <w:t>Primary EDE</w:t>
      </w:r>
      <w:r w:rsidR="00646800">
        <w:rPr>
          <w:rFonts w:cstheme="minorHAnsi"/>
        </w:rPr>
        <w:t xml:space="preserve"> Entity</w:t>
      </w:r>
    </w:p>
    <w:p w14:paraId="6F00040D" w14:textId="77777777" w:rsidR="00FF365C" w:rsidRDefault="00FF365C" w:rsidP="008E39B8">
      <w:pPr>
        <w:pStyle w:val="ListParagraph"/>
        <w:numPr>
          <w:ilvl w:val="1"/>
          <w:numId w:val="9"/>
        </w:numPr>
        <w:spacing w:line="240" w:lineRule="auto"/>
        <w:rPr>
          <w:rFonts w:cstheme="minorHAnsi"/>
        </w:rPr>
      </w:pPr>
      <w:r w:rsidRPr="00DF6EE3">
        <w:rPr>
          <w:rFonts w:cstheme="minorHAnsi"/>
          <w:i/>
        </w:rPr>
        <w:t>Attachment 1:</w:t>
      </w:r>
      <w:r>
        <w:rPr>
          <w:rFonts w:cstheme="minorHAnsi"/>
        </w:rPr>
        <w:t xml:space="preserve"> </w:t>
      </w:r>
      <w:r w:rsidRPr="00DF6EE3">
        <w:rPr>
          <w:rFonts w:cstheme="minorHAnsi"/>
          <w:i/>
        </w:rPr>
        <w:t>Primary EDE Application</w:t>
      </w:r>
    </w:p>
    <w:p w14:paraId="6EA85B89" w14:textId="4561F781" w:rsidR="00FF365C" w:rsidRDefault="00FF365C" w:rsidP="008E39B8">
      <w:pPr>
        <w:pStyle w:val="ListParagraph"/>
        <w:numPr>
          <w:ilvl w:val="1"/>
          <w:numId w:val="9"/>
        </w:numPr>
        <w:spacing w:line="240" w:lineRule="auto"/>
        <w:rPr>
          <w:rFonts w:cstheme="minorHAnsi"/>
        </w:rPr>
      </w:pPr>
      <w:r>
        <w:rPr>
          <w:rFonts w:cstheme="minorHAnsi"/>
        </w:rPr>
        <w:t xml:space="preserve">Copy of the most recent </w:t>
      </w:r>
      <w:r w:rsidR="00B66488" w:rsidRPr="00490818">
        <w:rPr>
          <w:rFonts w:cstheme="minorHAnsi"/>
          <w:i/>
          <w:iCs/>
        </w:rPr>
        <w:t>CMS</w:t>
      </w:r>
      <w:r w:rsidR="00B66488">
        <w:rPr>
          <w:rFonts w:cstheme="minorHAnsi"/>
        </w:rPr>
        <w:t xml:space="preserve"> </w:t>
      </w:r>
      <w:r w:rsidRPr="00DF6EE3">
        <w:rPr>
          <w:rFonts w:cstheme="minorHAnsi"/>
          <w:i/>
        </w:rPr>
        <w:t>Interconnectivity Security Agreement (ISA)</w:t>
      </w:r>
    </w:p>
    <w:p w14:paraId="4BCC7780" w14:textId="77777777" w:rsidR="00FF365C" w:rsidRPr="00DF6EE3" w:rsidRDefault="00FF365C" w:rsidP="008E39B8">
      <w:pPr>
        <w:pStyle w:val="ListParagraph"/>
        <w:numPr>
          <w:ilvl w:val="1"/>
          <w:numId w:val="9"/>
        </w:numPr>
        <w:spacing w:line="240" w:lineRule="auto"/>
        <w:rPr>
          <w:rFonts w:cstheme="minorHAnsi"/>
          <w:i/>
        </w:rPr>
      </w:pPr>
      <w:r>
        <w:rPr>
          <w:rFonts w:cstheme="minorHAnsi"/>
        </w:rPr>
        <w:t xml:space="preserve">Copy of the most recent </w:t>
      </w:r>
      <w:r w:rsidRPr="00DF6EE3">
        <w:rPr>
          <w:rFonts w:cstheme="minorHAnsi"/>
          <w:i/>
        </w:rPr>
        <w:t>CMS Quarterly Plan of Actions and Milestones (POA&amp;M)</w:t>
      </w:r>
    </w:p>
    <w:p w14:paraId="7E115684" w14:textId="561D9800" w:rsidR="00FF365C" w:rsidRDefault="00FF365C" w:rsidP="008E39B8">
      <w:pPr>
        <w:pStyle w:val="ListParagraph"/>
        <w:numPr>
          <w:ilvl w:val="0"/>
          <w:numId w:val="9"/>
        </w:numPr>
        <w:spacing w:line="240" w:lineRule="auto"/>
        <w:rPr>
          <w:rFonts w:cstheme="minorHAnsi"/>
        </w:rPr>
      </w:pPr>
      <w:r>
        <w:rPr>
          <w:rFonts w:cstheme="minorHAnsi"/>
        </w:rPr>
        <w:t xml:space="preserve">Hybrid </w:t>
      </w:r>
      <w:proofErr w:type="gramStart"/>
      <w:r>
        <w:rPr>
          <w:rFonts w:cstheme="minorHAnsi"/>
        </w:rPr>
        <w:t>Non-Issuer</w:t>
      </w:r>
      <w:proofErr w:type="gramEnd"/>
    </w:p>
    <w:p w14:paraId="7A31112B" w14:textId="77777777" w:rsidR="00FF365C" w:rsidRDefault="00FF365C" w:rsidP="008E39B8">
      <w:pPr>
        <w:pStyle w:val="ListParagraph"/>
        <w:numPr>
          <w:ilvl w:val="1"/>
          <w:numId w:val="9"/>
        </w:numPr>
        <w:spacing w:line="240" w:lineRule="auto"/>
        <w:rPr>
          <w:rFonts w:cstheme="minorHAnsi"/>
        </w:rPr>
      </w:pPr>
      <w:r w:rsidRPr="00DF6EE3">
        <w:rPr>
          <w:rFonts w:cstheme="minorHAnsi"/>
          <w:i/>
        </w:rPr>
        <w:t>Attachment 2:</w:t>
      </w:r>
      <w:r>
        <w:rPr>
          <w:rFonts w:cstheme="minorHAnsi"/>
        </w:rPr>
        <w:t xml:space="preserve"> </w:t>
      </w:r>
      <w:r w:rsidRPr="00DF6EE3">
        <w:rPr>
          <w:rFonts w:cstheme="minorHAnsi"/>
          <w:i/>
        </w:rPr>
        <w:t>Hybrid Non-Issuer Application</w:t>
      </w:r>
    </w:p>
    <w:p w14:paraId="476C8B58" w14:textId="1160CAB3" w:rsidR="00FF365C" w:rsidRDefault="00FF365C" w:rsidP="008E39B8">
      <w:pPr>
        <w:pStyle w:val="ListParagraph"/>
        <w:numPr>
          <w:ilvl w:val="1"/>
          <w:numId w:val="9"/>
        </w:numPr>
        <w:spacing w:line="240" w:lineRule="auto"/>
        <w:rPr>
          <w:rFonts w:cstheme="minorHAnsi"/>
        </w:rPr>
      </w:pPr>
      <w:r>
        <w:rPr>
          <w:rFonts w:cstheme="minorHAnsi"/>
        </w:rPr>
        <w:t xml:space="preserve">Copy of the most recent </w:t>
      </w:r>
      <w:r w:rsidRPr="00DF6EE3">
        <w:rPr>
          <w:rFonts w:cstheme="minorHAnsi"/>
          <w:i/>
        </w:rPr>
        <w:t>CMS Quarterly POA&amp;M</w:t>
      </w:r>
    </w:p>
    <w:p w14:paraId="2A2A7807" w14:textId="13EB790F" w:rsidR="00FF365C" w:rsidRDefault="00FF365C" w:rsidP="008E39B8">
      <w:pPr>
        <w:pStyle w:val="ListParagraph"/>
        <w:numPr>
          <w:ilvl w:val="0"/>
          <w:numId w:val="9"/>
        </w:numPr>
        <w:spacing w:line="240" w:lineRule="auto"/>
        <w:rPr>
          <w:rFonts w:cstheme="minorHAnsi"/>
        </w:rPr>
      </w:pPr>
      <w:r>
        <w:rPr>
          <w:rFonts w:cstheme="minorHAnsi"/>
        </w:rPr>
        <w:t>Hybrid Issuer</w:t>
      </w:r>
    </w:p>
    <w:p w14:paraId="3A4B5BD7" w14:textId="77777777" w:rsidR="00FF365C" w:rsidRDefault="00FF365C" w:rsidP="008E39B8">
      <w:pPr>
        <w:pStyle w:val="ListParagraph"/>
        <w:numPr>
          <w:ilvl w:val="1"/>
          <w:numId w:val="9"/>
        </w:numPr>
        <w:spacing w:line="240" w:lineRule="auto"/>
        <w:rPr>
          <w:rFonts w:cstheme="minorHAnsi"/>
        </w:rPr>
      </w:pPr>
      <w:r w:rsidRPr="00DF6EE3">
        <w:rPr>
          <w:rFonts w:cstheme="minorHAnsi"/>
          <w:i/>
        </w:rPr>
        <w:t>Attachment 3:</w:t>
      </w:r>
      <w:r>
        <w:rPr>
          <w:rFonts w:cstheme="minorHAnsi"/>
        </w:rPr>
        <w:t xml:space="preserve"> </w:t>
      </w:r>
      <w:r w:rsidRPr="00DF6EE3">
        <w:rPr>
          <w:rFonts w:cstheme="minorHAnsi"/>
          <w:i/>
        </w:rPr>
        <w:t>Hybrid Issuer Application</w:t>
      </w:r>
    </w:p>
    <w:p w14:paraId="780F22E4" w14:textId="6359D7BF" w:rsidR="00FF365C" w:rsidRDefault="00FF365C" w:rsidP="008E39B8">
      <w:pPr>
        <w:pStyle w:val="ListParagraph"/>
        <w:numPr>
          <w:ilvl w:val="1"/>
          <w:numId w:val="9"/>
        </w:numPr>
        <w:spacing w:line="240" w:lineRule="auto"/>
        <w:rPr>
          <w:rFonts w:cstheme="minorHAnsi"/>
        </w:rPr>
      </w:pPr>
      <w:r>
        <w:rPr>
          <w:rFonts w:cstheme="minorHAnsi"/>
        </w:rPr>
        <w:t xml:space="preserve">Copy of the most recent </w:t>
      </w:r>
      <w:r w:rsidRPr="00DF6EE3">
        <w:rPr>
          <w:rFonts w:cstheme="minorHAnsi"/>
          <w:i/>
        </w:rPr>
        <w:t>CMS Quarterly POA&amp;M</w:t>
      </w:r>
    </w:p>
    <w:p w14:paraId="77BA7238" w14:textId="560E4D9C" w:rsidR="00FF365C" w:rsidRPr="00D67F91" w:rsidRDefault="00FF365C" w:rsidP="008E39B8">
      <w:pPr>
        <w:pStyle w:val="ListParagraph"/>
        <w:numPr>
          <w:ilvl w:val="0"/>
          <w:numId w:val="9"/>
        </w:numPr>
        <w:spacing w:line="240" w:lineRule="auto"/>
      </w:pPr>
      <w:r>
        <w:rPr>
          <w:rFonts w:cstheme="minorHAnsi"/>
        </w:rPr>
        <w:t>White-Label Issuer</w:t>
      </w:r>
    </w:p>
    <w:p w14:paraId="46BCD60A" w14:textId="1599446A" w:rsidR="00FF365C" w:rsidRDefault="00FF365C" w:rsidP="008E39B8">
      <w:pPr>
        <w:pStyle w:val="ListParagraph"/>
        <w:numPr>
          <w:ilvl w:val="1"/>
          <w:numId w:val="9"/>
        </w:numPr>
        <w:spacing w:line="240" w:lineRule="auto"/>
      </w:pPr>
      <w:r w:rsidRPr="00DF6EE3">
        <w:rPr>
          <w:rFonts w:cstheme="minorHAnsi"/>
          <w:i/>
        </w:rPr>
        <w:t>Attachment 4:</w:t>
      </w:r>
      <w:r>
        <w:rPr>
          <w:rFonts w:cstheme="minorHAnsi"/>
        </w:rPr>
        <w:t xml:space="preserve"> </w:t>
      </w:r>
      <w:r w:rsidRPr="00DF6EE3">
        <w:rPr>
          <w:rFonts w:cstheme="minorHAnsi"/>
          <w:i/>
        </w:rPr>
        <w:t>White-Label Issuer Application</w:t>
      </w:r>
    </w:p>
    <w:p w14:paraId="600D1422" w14:textId="3691863E" w:rsidR="002771D7" w:rsidRDefault="00A21F9B" w:rsidP="00A53E91">
      <w:pPr>
        <w:pStyle w:val="Heading4"/>
        <w:spacing w:line="240" w:lineRule="auto"/>
      </w:pPr>
      <w:r>
        <w:t>Application Submission</w:t>
      </w:r>
    </w:p>
    <w:p w14:paraId="3D779523" w14:textId="36F065A1" w:rsidR="0021527F" w:rsidRDefault="006B5764" w:rsidP="00A53E91">
      <w:pPr>
        <w:spacing w:line="240" w:lineRule="auto"/>
      </w:pPr>
      <w:r>
        <w:t>To participate</w:t>
      </w:r>
      <w:r w:rsidR="00A40F9E">
        <w:t xml:space="preserve"> in the upcoming plan year, </w:t>
      </w:r>
      <w:r w:rsidR="0021527F">
        <w:t xml:space="preserve">EDE </w:t>
      </w:r>
      <w:r w:rsidR="00F512BD">
        <w:t>Partner a</w:t>
      </w:r>
      <w:r w:rsidR="0021527F">
        <w:t>pplicant</w:t>
      </w:r>
      <w:r w:rsidR="00D05A7D">
        <w:t>s</w:t>
      </w:r>
      <w:r w:rsidR="0021527F" w:rsidRPr="00A76C3A">
        <w:t xml:space="preserve"> must submit their completed EDE Partner </w:t>
      </w:r>
      <w:r w:rsidR="0021527F">
        <w:t>a</w:t>
      </w:r>
      <w:r w:rsidR="0021527F" w:rsidRPr="00A76C3A">
        <w:t xml:space="preserve">pplication </w:t>
      </w:r>
      <w:r w:rsidR="007B08E7">
        <w:t>to</w:t>
      </w:r>
      <w:r w:rsidR="0021527F" w:rsidRPr="00A76C3A" w:rsidDel="006D49ED">
        <w:t xml:space="preserve"> Georgia Access </w:t>
      </w:r>
      <w:r w:rsidR="0021527F">
        <w:t xml:space="preserve">by the designated due date communicated by </w:t>
      </w:r>
      <w:r w:rsidR="00B32A23">
        <w:t>Georgia Access</w:t>
      </w:r>
      <w:r w:rsidR="0021527F">
        <w:t>.</w:t>
      </w:r>
      <w:r w:rsidR="00FD4BB7">
        <w:t xml:space="preserve"> Late submissions </w:t>
      </w:r>
      <w:r w:rsidR="00E02CF8">
        <w:t>may</w:t>
      </w:r>
      <w:r w:rsidR="00FD4BB7">
        <w:t xml:space="preserve"> be considered for approval and participation on a rolling basis.</w:t>
      </w:r>
    </w:p>
    <w:p w14:paraId="21ACEE3F" w14:textId="3C9655A4" w:rsidR="00B32A23" w:rsidRDefault="00B32A23" w:rsidP="00A53E91">
      <w:pPr>
        <w:pStyle w:val="Heading4"/>
        <w:spacing w:line="240" w:lineRule="auto"/>
      </w:pPr>
      <w:r>
        <w:t>Application Acceptance</w:t>
      </w:r>
    </w:p>
    <w:p w14:paraId="22B58DB4" w14:textId="74D88F41" w:rsidR="00B45F5B" w:rsidRDefault="00641837" w:rsidP="00A53E91">
      <w:pPr>
        <w:spacing w:line="240" w:lineRule="auto"/>
      </w:pPr>
      <w:r>
        <w:t xml:space="preserve">EDE </w:t>
      </w:r>
      <w:r w:rsidR="00F512BD">
        <w:t>Partner a</w:t>
      </w:r>
      <w:r>
        <w:t xml:space="preserve">pplicants with complete applications receive an </w:t>
      </w:r>
      <w:r w:rsidRPr="0049383D">
        <w:t>acceptance letter within one week of submission</w:t>
      </w:r>
      <w:r>
        <w:t xml:space="preserve"> outlining next steps and identifying who their </w:t>
      </w:r>
      <w:r w:rsidRPr="00315B98">
        <w:t>POC</w:t>
      </w:r>
      <w:r w:rsidR="0002187A">
        <w:t xml:space="preserve"> </w:t>
      </w:r>
      <w:r>
        <w:t>will be throughout the certification process.</w:t>
      </w:r>
      <w:r w:rsidR="00460814">
        <w:t xml:space="preserve"> </w:t>
      </w:r>
      <w:r w:rsidR="007A3960">
        <w:t xml:space="preserve">If Georgia Access deems an EDE Partner application incomplete, the EDE </w:t>
      </w:r>
      <w:r w:rsidR="00F512BD">
        <w:t>Partner a</w:t>
      </w:r>
      <w:r w:rsidR="007A3960">
        <w:t>pplicant receive</w:t>
      </w:r>
      <w:r w:rsidR="008B5214">
        <w:t>s</w:t>
      </w:r>
      <w:r w:rsidR="007A3960">
        <w:t xml:space="preserve"> a request for additional information</w:t>
      </w:r>
      <w:r w:rsidR="00F04003">
        <w:t xml:space="preserve">, </w:t>
      </w:r>
      <w:r w:rsidR="007A3960">
        <w:t>and if required, an application denial letter.</w:t>
      </w:r>
    </w:p>
    <w:p w14:paraId="37B696FF" w14:textId="2A76F478" w:rsidR="00D273D7" w:rsidRDefault="00D273D7" w:rsidP="00A53E91">
      <w:pPr>
        <w:pStyle w:val="Heading3"/>
        <w:spacing w:line="240" w:lineRule="auto"/>
      </w:pPr>
      <w:bookmarkStart w:id="52" w:name="_Initial_Certification_Process"/>
      <w:bookmarkStart w:id="53" w:name="_Toc209003039"/>
      <w:bookmarkEnd w:id="52"/>
      <w:r>
        <w:lastRenderedPageBreak/>
        <w:t>Initial Certification Process</w:t>
      </w:r>
      <w:bookmarkEnd w:id="53"/>
    </w:p>
    <w:p w14:paraId="0A85527C" w14:textId="3CAA44ED" w:rsidR="00657CE8" w:rsidRDefault="00657CE8" w:rsidP="00A53E91">
      <w:pPr>
        <w:pStyle w:val="Heading4"/>
        <w:spacing w:line="240" w:lineRule="auto"/>
      </w:pPr>
      <w:r>
        <w:t>Ongoing Coordination</w:t>
      </w:r>
    </w:p>
    <w:p w14:paraId="7F5FE71B" w14:textId="7B5B3710" w:rsidR="009F3137" w:rsidRDefault="009F3137" w:rsidP="00A53E91">
      <w:pPr>
        <w:spacing w:line="240" w:lineRule="auto"/>
      </w:pPr>
      <w:r>
        <w:t xml:space="preserve">Once Georgia Access confirms that an EDE </w:t>
      </w:r>
      <w:r w:rsidR="00D86BD1">
        <w:t>Partner a</w:t>
      </w:r>
      <w:r>
        <w:t xml:space="preserve">pplicant’s </w:t>
      </w:r>
      <w:r w:rsidR="007B75CE">
        <w:t xml:space="preserve">application </w:t>
      </w:r>
      <w:r>
        <w:t>has been accepted, the entity is referred to as an EDE Partner applicant until certification is granted.</w:t>
      </w:r>
      <w:r w:rsidDel="000E04AA">
        <w:t xml:space="preserve"> </w:t>
      </w:r>
      <w:r>
        <w:t xml:space="preserve">For the </w:t>
      </w:r>
      <w:r w:rsidR="002312D6">
        <w:t xml:space="preserve">period when </w:t>
      </w:r>
      <w:r>
        <w:t xml:space="preserve">Georgia Access </w:t>
      </w:r>
      <w:r w:rsidR="002312D6">
        <w:t>is transitioning from an SBE-FP to an SBE</w:t>
      </w:r>
      <w:r>
        <w:t xml:space="preserve">, EDE Partner applicants </w:t>
      </w:r>
      <w:r w:rsidR="00AD522C">
        <w:t>are</w:t>
      </w:r>
      <w:r>
        <w:t xml:space="preserve"> required to:</w:t>
      </w:r>
    </w:p>
    <w:p w14:paraId="1D31F943" w14:textId="77777777" w:rsidR="009F3137" w:rsidRDefault="009F3137" w:rsidP="008E39B8">
      <w:pPr>
        <w:pStyle w:val="ListParagraph"/>
        <w:numPr>
          <w:ilvl w:val="0"/>
          <w:numId w:val="3"/>
        </w:numPr>
        <w:spacing w:line="240" w:lineRule="auto"/>
      </w:pPr>
      <w:r>
        <w:t>Participate in ongoing technology design review sessions throughout Georgia Access planning, implementation, and go-live.</w:t>
      </w:r>
    </w:p>
    <w:p w14:paraId="21343BF6" w14:textId="700EC7B6" w:rsidR="009F3137" w:rsidRDefault="009F3137" w:rsidP="008E39B8">
      <w:pPr>
        <w:pStyle w:val="ListParagraph"/>
        <w:numPr>
          <w:ilvl w:val="0"/>
          <w:numId w:val="3"/>
        </w:numPr>
        <w:spacing w:line="240" w:lineRule="auto"/>
      </w:pPr>
      <w:r>
        <w:t xml:space="preserve">Participate in monthly program design review sessions with </w:t>
      </w:r>
      <w:r w:rsidR="00F82CD6">
        <w:t>Georgia Access</w:t>
      </w:r>
      <w:r>
        <w:t>.</w:t>
      </w:r>
    </w:p>
    <w:p w14:paraId="6BECFDD1" w14:textId="3945D88F" w:rsidR="009F3137" w:rsidRDefault="009F3137" w:rsidP="008E39B8">
      <w:pPr>
        <w:pStyle w:val="ListParagraph"/>
        <w:numPr>
          <w:ilvl w:val="0"/>
          <w:numId w:val="3"/>
        </w:numPr>
        <w:spacing w:line="240" w:lineRule="auto"/>
      </w:pPr>
      <w:r w:rsidRPr="0049383D">
        <w:rPr>
          <w:b/>
          <w:bCs/>
        </w:rPr>
        <w:t xml:space="preserve">For </w:t>
      </w:r>
      <w:r w:rsidR="00B83F82">
        <w:rPr>
          <w:b/>
          <w:bCs/>
        </w:rPr>
        <w:t>P</w:t>
      </w:r>
      <w:r w:rsidRPr="0049383D">
        <w:rPr>
          <w:b/>
          <w:bCs/>
        </w:rPr>
        <w:t xml:space="preserve">rimary EDE </w:t>
      </w:r>
      <w:r w:rsidR="00B83F82">
        <w:rPr>
          <w:b/>
          <w:bCs/>
        </w:rPr>
        <w:t>E</w:t>
      </w:r>
      <w:r w:rsidRPr="0049383D">
        <w:rPr>
          <w:b/>
          <w:bCs/>
        </w:rPr>
        <w:t>ntities:</w:t>
      </w:r>
      <w:r>
        <w:t xml:space="preserve"> </w:t>
      </w:r>
      <w:r w:rsidR="000058BA">
        <w:t>P</w:t>
      </w:r>
      <w:r>
        <w:t xml:space="preserve">rovide a demonstration of their consumer application to </w:t>
      </w:r>
      <w:r w:rsidR="00F82CD6">
        <w:t>Georgia Access</w:t>
      </w:r>
      <w:r>
        <w:t xml:space="preserve"> </w:t>
      </w:r>
      <w:r w:rsidR="000058BA">
        <w:t xml:space="preserve">upon </w:t>
      </w:r>
      <w:r>
        <w:t>request.</w:t>
      </w:r>
    </w:p>
    <w:p w14:paraId="7DD236A1" w14:textId="0988AF6D" w:rsidR="009F3137" w:rsidRDefault="009F3137" w:rsidP="008E39B8">
      <w:pPr>
        <w:pStyle w:val="ListParagraph"/>
        <w:numPr>
          <w:ilvl w:val="0"/>
          <w:numId w:val="3"/>
        </w:numPr>
        <w:spacing w:line="240" w:lineRule="auto"/>
      </w:pPr>
      <w:r>
        <w:t xml:space="preserve">Engage in one-on-one meetings with </w:t>
      </w:r>
      <w:r w:rsidR="007257B4">
        <w:t>Georgia Access</w:t>
      </w:r>
      <w:r>
        <w:t xml:space="preserve"> as needed.</w:t>
      </w:r>
    </w:p>
    <w:p w14:paraId="1D05BD28" w14:textId="7AD19A8E" w:rsidR="00657CE8" w:rsidRPr="00657CE8" w:rsidRDefault="009F3137" w:rsidP="008E39B8">
      <w:pPr>
        <w:pStyle w:val="ListParagraph"/>
        <w:numPr>
          <w:ilvl w:val="0"/>
          <w:numId w:val="3"/>
        </w:numPr>
        <w:spacing w:line="240" w:lineRule="auto"/>
      </w:pPr>
      <w:r>
        <w:t>Complete and pass an ORR.</w:t>
      </w:r>
    </w:p>
    <w:p w14:paraId="22035E53" w14:textId="20A63153" w:rsidR="00657CE8" w:rsidRDefault="00657CE8" w:rsidP="00A53E91">
      <w:pPr>
        <w:pStyle w:val="Heading4"/>
        <w:spacing w:line="240" w:lineRule="auto"/>
      </w:pPr>
      <w:bookmarkStart w:id="54" w:name="_Georgia_Access_User"/>
      <w:bookmarkEnd w:id="54"/>
      <w:r>
        <w:t>Georgia Access U</w:t>
      </w:r>
      <w:r w:rsidR="00242FE3">
        <w:t xml:space="preserve">ser </w:t>
      </w:r>
      <w:r>
        <w:t>I</w:t>
      </w:r>
      <w:r w:rsidR="00242FE3">
        <w:t>nterface (UI)</w:t>
      </w:r>
      <w:r>
        <w:t xml:space="preserve"> Question Companion Guide</w:t>
      </w:r>
    </w:p>
    <w:p w14:paraId="329C5F4A" w14:textId="71EE2935" w:rsidR="00DC4404" w:rsidRPr="00DC4404" w:rsidRDefault="00DC4404" w:rsidP="00A53E91">
      <w:pPr>
        <w:spacing w:line="240" w:lineRule="auto"/>
      </w:pPr>
      <w:r>
        <w:t>Georgia Access</w:t>
      </w:r>
      <w:r w:rsidRPr="00DC4404">
        <w:t xml:space="preserve"> </w:t>
      </w:r>
      <w:r w:rsidR="00242FE3">
        <w:t>annually release</w:t>
      </w:r>
      <w:r w:rsidR="006E218E">
        <w:t>s</w:t>
      </w:r>
      <w:r w:rsidRPr="00DC4404">
        <w:t xml:space="preserve"> a </w:t>
      </w:r>
      <w:r w:rsidRPr="00242FE3">
        <w:rPr>
          <w:i/>
          <w:iCs/>
        </w:rPr>
        <w:t>Georgia Access UI Question Companion Guide</w:t>
      </w:r>
      <w:r w:rsidRPr="00DC4404">
        <w:t xml:space="preserve"> and </w:t>
      </w:r>
      <w:r w:rsidRPr="00242FE3">
        <w:rPr>
          <w:i/>
          <w:iCs/>
        </w:rPr>
        <w:t>Georgia Access Communications Toolkit</w:t>
      </w:r>
      <w:r w:rsidRPr="00DC4404">
        <w:t xml:space="preserve"> based on the </w:t>
      </w:r>
      <w:r w:rsidRPr="00242FE3">
        <w:rPr>
          <w:i/>
          <w:iCs/>
        </w:rPr>
        <w:t>CCIIO UI Question Companion Guide</w:t>
      </w:r>
      <w:r w:rsidR="00273AA6">
        <w:rPr>
          <w:i/>
          <w:iCs/>
        </w:rPr>
        <w:t>.</w:t>
      </w:r>
      <w:r w:rsidRPr="00DC4404">
        <w:t xml:space="preserve"> </w:t>
      </w:r>
      <w:r w:rsidR="00984AC6">
        <w:t>These materials are shared directly with the EDE</w:t>
      </w:r>
      <w:r w:rsidR="00DB2721">
        <w:t xml:space="preserve"> Partner applicants</w:t>
      </w:r>
      <w:r w:rsidR="00984AC6">
        <w:t xml:space="preserve">. </w:t>
      </w:r>
      <w:r w:rsidR="000F1CEE">
        <w:t>Georgia Access</w:t>
      </w:r>
      <w:r w:rsidRPr="00DC4404">
        <w:t xml:space="preserve"> may release additional versions of the </w:t>
      </w:r>
      <w:r w:rsidRPr="001D61B0">
        <w:rPr>
          <w:i/>
        </w:rPr>
        <w:t xml:space="preserve">Georgia Access UI Question Companion Guide </w:t>
      </w:r>
      <w:r w:rsidRPr="00DC4404">
        <w:t xml:space="preserve">as CCIIO releases periodic updates to the </w:t>
      </w:r>
      <w:r w:rsidRPr="001D61B0">
        <w:rPr>
          <w:i/>
        </w:rPr>
        <w:t>CCIIO UI Question Companion Guide</w:t>
      </w:r>
      <w:r w:rsidRPr="00DC4404">
        <w:t>.</w:t>
      </w:r>
    </w:p>
    <w:p w14:paraId="3CE258CC" w14:textId="2A0DB753" w:rsidR="00657CE8" w:rsidRDefault="00657CE8" w:rsidP="00A53E91">
      <w:pPr>
        <w:pStyle w:val="Heading4"/>
        <w:spacing w:line="240" w:lineRule="auto"/>
      </w:pPr>
      <w:bookmarkStart w:id="55" w:name="_Georgia_Access_Phase"/>
      <w:bookmarkEnd w:id="55"/>
      <w:r>
        <w:t>Georgia Access Phase Certification</w:t>
      </w:r>
    </w:p>
    <w:p w14:paraId="1A5B34E3" w14:textId="733B1A63" w:rsidR="00E4375B" w:rsidRDefault="00E4375B" w:rsidP="00A53E91">
      <w:pPr>
        <w:spacing w:line="240" w:lineRule="auto"/>
      </w:pPr>
      <w:r>
        <w:t>Georgia Access reviews and certifies EDE Partner applicants at their current FFE EDE certification phase. For example, an EDE Partner applicant that is currently certified as an FFE Phase 2 EDE is reviewed and considered for</w:t>
      </w:r>
      <w:r w:rsidR="00C34CC6">
        <w:t xml:space="preserve"> Georgia Access certification as a</w:t>
      </w:r>
      <w:r>
        <w:t xml:space="preserve"> Phase 2 EDE Partner. For a list of consumer enrollment scenarios supported at each phase, refer to </w:t>
      </w:r>
      <w:hyperlink w:anchor="_Georgia_Access_EDE">
        <w:r w:rsidR="00035FB1" w:rsidRPr="2114FA65">
          <w:rPr>
            <w:rStyle w:val="Hyperlink"/>
            <w:i/>
            <w:iCs/>
          </w:rPr>
          <w:t>Section 2.1.1.2 Georgia Access EDE Partner Certification Phases</w:t>
        </w:r>
      </w:hyperlink>
      <w:r>
        <w:t xml:space="preserve">. EDE Partner applicants requesting certification for Phases 2 must provide specific details to </w:t>
      </w:r>
      <w:r w:rsidR="000F1CEE">
        <w:t xml:space="preserve">Georgia Access </w:t>
      </w:r>
      <w:r>
        <w:t xml:space="preserve">regarding how they will support </w:t>
      </w:r>
      <w:r w:rsidR="006A23BA">
        <w:t>consumer enrollment scenarios beyond their current phase</w:t>
      </w:r>
      <w:r>
        <w:t>, including establishing a relationship with a Phase 3 EDE Partner to hand consumers off</w:t>
      </w:r>
      <w:r w:rsidR="00EB2CD7">
        <w:t xml:space="preserve"> if not handing them off to the Georgia Access Portal</w:t>
      </w:r>
      <w:r>
        <w:t>.</w:t>
      </w:r>
    </w:p>
    <w:p w14:paraId="3808963F" w14:textId="64276F4B" w:rsidR="00E4375B" w:rsidRDefault="00E4375B" w:rsidP="00A53E91">
      <w:pPr>
        <w:spacing w:line="240" w:lineRule="auto"/>
      </w:pPr>
      <w:r>
        <w:t xml:space="preserve">Applicants may concurrently pursue a higher FFE EDE certification phase at the time they submit their Georgia Access EDE Partner </w:t>
      </w:r>
      <w:r w:rsidR="00450319">
        <w:t>a</w:t>
      </w:r>
      <w:r>
        <w:t xml:space="preserve">pplication. </w:t>
      </w:r>
      <w:r w:rsidR="00273AA6" w:rsidRPr="00273AA6">
        <w:t xml:space="preserve">Georgia Access will consider the pending EDE phase for EDE Partners that are applying for a higher EDE certification on the FFE. </w:t>
      </w:r>
    </w:p>
    <w:p w14:paraId="4BD4C3C4" w14:textId="5172CBF6" w:rsidR="00E4375B" w:rsidRPr="00E4375B" w:rsidRDefault="00E4375B" w:rsidP="00A53E91">
      <w:pPr>
        <w:spacing w:line="240" w:lineRule="auto"/>
      </w:pPr>
      <w:r>
        <w:t xml:space="preserve">For EDE Partner applicants seeking to be certified at a different phase for Georgia Access than their current FFE EDE certification phase, refer to </w:t>
      </w:r>
      <w:hyperlink w:anchor="_Phase_Change_Requests_1" w:history="1">
        <w:r w:rsidR="009A7896">
          <w:rPr>
            <w:rStyle w:val="Hyperlink"/>
            <w:i/>
            <w:iCs/>
          </w:rPr>
          <w:t>Section 2.3.1.3 Phase Change Requests</w:t>
        </w:r>
      </w:hyperlink>
      <w:r>
        <w:t>.</w:t>
      </w:r>
    </w:p>
    <w:p w14:paraId="61743D51" w14:textId="1A31E7F8" w:rsidR="00657CE8" w:rsidRDefault="00657CE8" w:rsidP="00A53E91">
      <w:pPr>
        <w:pStyle w:val="Heading4"/>
        <w:spacing w:line="240" w:lineRule="auto"/>
      </w:pPr>
      <w:r>
        <w:t>Georgia Access Optional Change Requests</w:t>
      </w:r>
    </w:p>
    <w:p w14:paraId="3D4C72CB" w14:textId="2897B55E" w:rsidR="00084505" w:rsidRPr="00084505" w:rsidRDefault="001F03A0" w:rsidP="00A53E91">
      <w:pPr>
        <w:spacing w:line="240" w:lineRule="auto"/>
      </w:pPr>
      <w:r w:rsidRPr="001F03A0">
        <w:t>EDE Partner applicants seeking certification as primary entities may not request any optional changes to their</w:t>
      </w:r>
      <w:r w:rsidR="00D869FA">
        <w:t xml:space="preserve"> 2025</w:t>
      </w:r>
      <w:r w:rsidRPr="001F03A0">
        <w:t xml:space="preserve"> UI or QHP consumer application, certification for an enhanced phase for Georgia Access, or platform and security changes. For the change request process for </w:t>
      </w:r>
      <w:r w:rsidR="00D869FA">
        <w:t>OE 2026 and beyond</w:t>
      </w:r>
      <w:r w:rsidRPr="001F03A0">
        <w:t xml:space="preserve">, refer to </w:t>
      </w:r>
      <w:hyperlink w:anchor="_Optional_Change_Requests" w:history="1">
        <w:r w:rsidR="008E20C6">
          <w:rPr>
            <w:rStyle w:val="Hyperlink"/>
          </w:rPr>
          <w:t>Section 2.3.1.2 Optional Change Requests</w:t>
        </w:r>
      </w:hyperlink>
      <w:r w:rsidRPr="001F03A0">
        <w:t>.</w:t>
      </w:r>
    </w:p>
    <w:p w14:paraId="2842729F" w14:textId="0CE8B5B1" w:rsidR="00657CE8" w:rsidRDefault="00657CE8" w:rsidP="00A53E91">
      <w:pPr>
        <w:pStyle w:val="Heading4"/>
        <w:spacing w:line="240" w:lineRule="auto"/>
      </w:pPr>
      <w:bookmarkStart w:id="56" w:name="_Operational_Readiness_Reviews"/>
      <w:bookmarkEnd w:id="56"/>
      <w:r>
        <w:t>Operational Readiness Reviews</w:t>
      </w:r>
    </w:p>
    <w:p w14:paraId="3677085E" w14:textId="2D9884B4" w:rsidR="008847B7" w:rsidRDefault="008847B7" w:rsidP="00A53E91">
      <w:pPr>
        <w:spacing w:line="240" w:lineRule="auto"/>
      </w:pPr>
      <w:r>
        <w:t xml:space="preserve">Georgia Access engages with EDE Partner applicants throughout the certification process to monitor progress and compliance. Georgia Access </w:t>
      </w:r>
      <w:r w:rsidR="004F5A05">
        <w:t xml:space="preserve">schedules </w:t>
      </w:r>
      <w:r>
        <w:t xml:space="preserve">an ORR with each EDE Partner applicant </w:t>
      </w:r>
      <w:r w:rsidR="004756C6">
        <w:t xml:space="preserve">prior to </w:t>
      </w:r>
      <w:r>
        <w:t>OE to assess whether each EDE Partner applicant has met all Georgia Access requirements and milestones for certification.</w:t>
      </w:r>
    </w:p>
    <w:p w14:paraId="0F88C51C" w14:textId="05D08FEC" w:rsidR="008847B7" w:rsidRDefault="00DB2721" w:rsidP="00A53E91">
      <w:pPr>
        <w:spacing w:line="240" w:lineRule="auto"/>
      </w:pPr>
      <w:r>
        <w:lastRenderedPageBreak/>
        <w:t>Prior to each EDE Partner applicant’s</w:t>
      </w:r>
      <w:r w:rsidR="008847B7">
        <w:t xml:space="preserve"> ORR, </w:t>
      </w:r>
      <w:r w:rsidR="004F5A05">
        <w:t xml:space="preserve">Georgia Access distributes </w:t>
      </w:r>
      <w:r w:rsidR="008847B7" w:rsidDel="000211E1">
        <w:t xml:space="preserve">the </w:t>
      </w:r>
      <w:r w:rsidR="008847B7">
        <w:t xml:space="preserve">following materials. </w:t>
      </w:r>
    </w:p>
    <w:p w14:paraId="0CFE772D" w14:textId="39362936" w:rsidR="008847B7" w:rsidRDefault="008847B7" w:rsidP="008E39B8">
      <w:pPr>
        <w:pStyle w:val="ListParagraph"/>
        <w:numPr>
          <w:ilvl w:val="0"/>
          <w:numId w:val="11"/>
        </w:numPr>
        <w:spacing w:line="240" w:lineRule="auto"/>
      </w:pPr>
      <w:r w:rsidRPr="00DF6EE3">
        <w:rPr>
          <w:i/>
        </w:rPr>
        <w:t>Georgia Access ORR Packet:</w:t>
      </w:r>
      <w:r>
        <w:t xml:space="preserve"> </w:t>
      </w:r>
      <w:r w:rsidR="009A60ED">
        <w:t>P</w:t>
      </w:r>
      <w:r>
        <w:t>rovides an overview of the ORR process, review timeline</w:t>
      </w:r>
      <w:r w:rsidR="009A60ED">
        <w:t>,</w:t>
      </w:r>
      <w:r>
        <w:t xml:space="preserve"> and required documentation.</w:t>
      </w:r>
    </w:p>
    <w:p w14:paraId="192EAF13" w14:textId="59B629AC" w:rsidR="008847B7" w:rsidRDefault="008847B7" w:rsidP="008E39B8">
      <w:pPr>
        <w:pStyle w:val="ListParagraph"/>
        <w:numPr>
          <w:ilvl w:val="0"/>
          <w:numId w:val="11"/>
        </w:numPr>
        <w:spacing w:line="240" w:lineRule="auto"/>
      </w:pPr>
      <w:r w:rsidRPr="00DF6EE3">
        <w:rPr>
          <w:i/>
        </w:rPr>
        <w:t>Georgia Access ORR Checklist:</w:t>
      </w:r>
      <w:r>
        <w:t xml:space="preserve"> </w:t>
      </w:r>
      <w:r w:rsidR="009A60ED">
        <w:t>O</w:t>
      </w:r>
      <w:r>
        <w:t xml:space="preserve">utlines the full list of EDE Partner requirements. </w:t>
      </w:r>
    </w:p>
    <w:p w14:paraId="2EFF2872" w14:textId="3581E536" w:rsidR="008847B7" w:rsidRPr="00674B4C" w:rsidRDefault="008847B7" w:rsidP="008E39B8">
      <w:pPr>
        <w:pStyle w:val="ListParagraph"/>
        <w:numPr>
          <w:ilvl w:val="0"/>
          <w:numId w:val="11"/>
        </w:numPr>
        <w:spacing w:line="240" w:lineRule="auto"/>
      </w:pPr>
      <w:r w:rsidRPr="00DF6EE3">
        <w:rPr>
          <w:i/>
        </w:rPr>
        <w:t>Georgia Access Readiness Verification Form:</w:t>
      </w:r>
      <w:r>
        <w:t xml:space="preserve"> </w:t>
      </w:r>
      <w:r w:rsidR="009A60ED">
        <w:rPr>
          <w:rFonts w:eastAsia="Times New Roman"/>
        </w:rPr>
        <w:t>I</w:t>
      </w:r>
      <w:r w:rsidRPr="00674B4C">
        <w:rPr>
          <w:rFonts w:eastAsia="Times New Roman"/>
        </w:rPr>
        <w:t xml:space="preserve">ncludes attestation of Georgia Access requirements and open-ended </w:t>
      </w:r>
      <w:r>
        <w:rPr>
          <w:rFonts w:eastAsia="Times New Roman"/>
        </w:rPr>
        <w:t>questions</w:t>
      </w:r>
      <w:r w:rsidRPr="00674B4C">
        <w:rPr>
          <w:rFonts w:eastAsia="Times New Roman"/>
        </w:rPr>
        <w:t>.</w:t>
      </w:r>
    </w:p>
    <w:p w14:paraId="0DBF6E44" w14:textId="7F62BBAF" w:rsidR="008847B7" w:rsidRPr="00674B4C" w:rsidRDefault="008847B7" w:rsidP="008E39B8">
      <w:pPr>
        <w:pStyle w:val="ListParagraph"/>
        <w:numPr>
          <w:ilvl w:val="0"/>
          <w:numId w:val="11"/>
        </w:numPr>
        <w:spacing w:line="240" w:lineRule="auto"/>
      </w:pPr>
      <w:r w:rsidRPr="00DF6EE3">
        <w:rPr>
          <w:i/>
        </w:rPr>
        <w:t>Georgia Access QHP Application UI Compliance Checklist:</w:t>
      </w:r>
      <w:r>
        <w:t xml:space="preserve"> </w:t>
      </w:r>
      <w:r w:rsidR="00842D40">
        <w:rPr>
          <w:rFonts w:eastAsia="Times New Roman"/>
        </w:rPr>
        <w:t>O</w:t>
      </w:r>
      <w:r w:rsidRPr="00674B4C">
        <w:rPr>
          <w:rFonts w:eastAsia="Times New Roman"/>
        </w:rPr>
        <w:t>utlines the required screenshots entities must provide to verify compliance with UI</w:t>
      </w:r>
      <w:r w:rsidR="005729CB">
        <w:rPr>
          <w:rFonts w:eastAsia="Times New Roman"/>
        </w:rPr>
        <w:t xml:space="preserve"> or </w:t>
      </w:r>
      <w:r w:rsidRPr="00674B4C">
        <w:rPr>
          <w:rFonts w:eastAsia="Times New Roman"/>
        </w:rPr>
        <w:t>QHP application requirements.</w:t>
      </w:r>
    </w:p>
    <w:p w14:paraId="03F5D9CF" w14:textId="0AC1A17E" w:rsidR="008847B7" w:rsidRDefault="008847B7" w:rsidP="008E39B8">
      <w:pPr>
        <w:pStyle w:val="ListParagraph"/>
        <w:numPr>
          <w:ilvl w:val="0"/>
          <w:numId w:val="11"/>
        </w:numPr>
        <w:spacing w:line="240" w:lineRule="auto"/>
      </w:pPr>
      <w:r w:rsidRPr="00DF6EE3">
        <w:rPr>
          <w:i/>
        </w:rPr>
        <w:t>Georgia Access Audit Materials Guide</w:t>
      </w:r>
      <w:r w:rsidRPr="00DF6EE3">
        <w:rPr>
          <w:rFonts w:eastAsia="Times New Roman"/>
          <w:i/>
        </w:rPr>
        <w:t>:</w:t>
      </w:r>
      <w:r w:rsidRPr="00674B4C">
        <w:rPr>
          <w:rFonts w:eastAsia="Times New Roman"/>
        </w:rPr>
        <w:t xml:space="preserve"> </w:t>
      </w:r>
      <w:r w:rsidR="00842D40">
        <w:rPr>
          <w:rFonts w:eastAsia="Times New Roman"/>
        </w:rPr>
        <w:t>O</w:t>
      </w:r>
      <w:r w:rsidRPr="00674B4C">
        <w:rPr>
          <w:rFonts w:eastAsia="Times New Roman"/>
        </w:rPr>
        <w:t>utlines the required audit and privacy and security documentation that entities must provide.</w:t>
      </w:r>
    </w:p>
    <w:p w14:paraId="09B18908" w14:textId="15CDF4FB" w:rsidR="008847B7" w:rsidRDefault="008847B7" w:rsidP="00A53E91">
      <w:pPr>
        <w:spacing w:line="240" w:lineRule="auto"/>
      </w:pPr>
      <w:r>
        <w:t xml:space="preserve">In advance of an EDE Partner applicant’s ORR, the applicant must submit the completed ORR checklist and required documentation. </w:t>
      </w:r>
      <w:r w:rsidR="005813B2">
        <w:t>Georgia Access may request additional information</w:t>
      </w:r>
      <w:r w:rsidR="00841653">
        <w:t>,</w:t>
      </w:r>
      <w:r w:rsidR="005813B2">
        <w:t xml:space="preserve"> as needed.</w:t>
      </w:r>
    </w:p>
    <w:p w14:paraId="526FBB7B" w14:textId="66BDE8FA" w:rsidR="008847B7" w:rsidRDefault="005813B2" w:rsidP="00A53E91">
      <w:pPr>
        <w:spacing w:line="240" w:lineRule="auto"/>
      </w:pPr>
      <w:r>
        <w:t xml:space="preserve">For minor discrepancies during ORR, the EDE Partner applicant </w:t>
      </w:r>
      <w:proofErr w:type="gramStart"/>
      <w:r w:rsidR="008847B7">
        <w:t xml:space="preserve">has </w:t>
      </w:r>
      <w:r>
        <w:t>the</w:t>
      </w:r>
      <w:r w:rsidR="008847B7">
        <w:t xml:space="preserve"> opportunity to</w:t>
      </w:r>
      <w:proofErr w:type="gramEnd"/>
      <w:r w:rsidR="008847B7">
        <w:t xml:space="preserve"> submit any missing items or correct any outstanding issues </w:t>
      </w:r>
      <w:r w:rsidR="008847B7" w:rsidRPr="007641DC">
        <w:t>within</w:t>
      </w:r>
      <w:r w:rsidR="008847B7" w:rsidRPr="00021FD6">
        <w:rPr>
          <w:b/>
          <w:bCs/>
        </w:rPr>
        <w:t xml:space="preserve"> </w:t>
      </w:r>
      <w:r w:rsidR="00841653" w:rsidRPr="00767F20">
        <w:t>ten</w:t>
      </w:r>
      <w:r w:rsidR="008847B7" w:rsidRPr="00767F20">
        <w:t xml:space="preserve"> business days</w:t>
      </w:r>
      <w:r w:rsidR="008847B7">
        <w:t xml:space="preserve"> to receive certification in advance of the upcoming OE </w:t>
      </w:r>
      <w:r w:rsidR="000F6A68">
        <w:t>P</w:t>
      </w:r>
      <w:r w:rsidR="008847B7">
        <w:t xml:space="preserve">eriod. If discrepancies are considered significant, the EDE Partner applicant may not receive certification in time for the upcoming OE </w:t>
      </w:r>
      <w:r w:rsidR="000F6A68">
        <w:t>P</w:t>
      </w:r>
      <w:r w:rsidR="008847B7">
        <w:t>eriod.</w:t>
      </w:r>
    </w:p>
    <w:p w14:paraId="7014A53E" w14:textId="01B86EFF" w:rsidR="001F03A0" w:rsidRPr="003E5A2D" w:rsidRDefault="008847B7" w:rsidP="00A53E91">
      <w:pPr>
        <w:spacing w:line="240" w:lineRule="auto"/>
        <w:rPr>
          <w:i/>
          <w:iCs/>
        </w:rPr>
      </w:pPr>
      <w:r>
        <w:t xml:space="preserve">Once </w:t>
      </w:r>
      <w:r w:rsidR="005813B2">
        <w:t xml:space="preserve">EDE Partner </w:t>
      </w:r>
      <w:r>
        <w:t xml:space="preserve">applicants receive certification, they may commence marketing and outreach efforts to Georgia consumers in adherence with </w:t>
      </w:r>
      <w:r w:rsidRPr="00692FF4">
        <w:rPr>
          <w:i/>
          <w:iCs/>
        </w:rPr>
        <w:t xml:space="preserve">Georgia Access </w:t>
      </w:r>
      <w:r>
        <w:rPr>
          <w:i/>
          <w:iCs/>
        </w:rPr>
        <w:t>EDE Partner</w:t>
      </w:r>
      <w:r w:rsidRPr="00692FF4">
        <w:rPr>
          <w:i/>
          <w:iCs/>
        </w:rPr>
        <w:t xml:space="preserve"> Marketing Guidelines</w:t>
      </w:r>
      <w:r>
        <w:rPr>
          <w:i/>
          <w:iCs/>
        </w:rPr>
        <w:t xml:space="preserve"> for OE 202</w:t>
      </w:r>
      <w:r w:rsidR="000A19A8">
        <w:rPr>
          <w:i/>
          <w:iCs/>
        </w:rPr>
        <w:t>5</w:t>
      </w:r>
      <w:r>
        <w:t>.</w:t>
      </w:r>
      <w:r w:rsidR="0017497A">
        <w:rPr>
          <w:rStyle w:val="FootnoteReference"/>
        </w:rPr>
        <w:footnoteReference w:id="2"/>
      </w:r>
    </w:p>
    <w:p w14:paraId="46EF6DB0" w14:textId="34C9D2E3" w:rsidR="00657CE8" w:rsidRDefault="00657CE8" w:rsidP="00A53E91">
      <w:pPr>
        <w:pStyle w:val="Heading4"/>
        <w:spacing w:line="240" w:lineRule="auto"/>
      </w:pPr>
      <w:bookmarkStart w:id="57" w:name="_EDE_Partner_Certification"/>
      <w:bookmarkEnd w:id="57"/>
      <w:r>
        <w:t>EDE Partner Certification</w:t>
      </w:r>
    </w:p>
    <w:p w14:paraId="36A40743" w14:textId="3A9B4645" w:rsidR="003E5A2D" w:rsidRPr="003E5A2D" w:rsidRDefault="009158AE" w:rsidP="00A53E91">
      <w:pPr>
        <w:spacing w:line="240" w:lineRule="auto"/>
      </w:pPr>
      <w:r>
        <w:t xml:space="preserve">Georgia Access </w:t>
      </w:r>
      <w:r w:rsidRPr="009158AE">
        <w:t>notif</w:t>
      </w:r>
      <w:r w:rsidR="00691952">
        <w:t>ies</w:t>
      </w:r>
      <w:r w:rsidRPr="009158AE">
        <w:t xml:space="preserve"> EDE Partner applicants </w:t>
      </w:r>
      <w:r w:rsidR="00236D68">
        <w:t>that</w:t>
      </w:r>
      <w:r w:rsidRPr="009158AE">
        <w:t xml:space="preserve"> have successfully completed and passed ORRs that they are certified as </w:t>
      </w:r>
      <w:r w:rsidR="00EE6096">
        <w:t xml:space="preserve">a </w:t>
      </w:r>
      <w:r w:rsidRPr="009158AE">
        <w:t xml:space="preserve">Georgia Access EDE Partner. </w:t>
      </w:r>
      <w:r w:rsidR="00EE6096">
        <w:t xml:space="preserve">The </w:t>
      </w:r>
      <w:r w:rsidRPr="009158AE">
        <w:t>EDE Partner</w:t>
      </w:r>
      <w:r w:rsidR="00EE6096">
        <w:t xml:space="preserve"> applicant </w:t>
      </w:r>
      <w:r w:rsidRPr="009158AE">
        <w:t xml:space="preserve">must acknowledge the </w:t>
      </w:r>
      <w:r w:rsidR="00F53FA3">
        <w:t>notification</w:t>
      </w:r>
      <w:r w:rsidR="00F53FA3" w:rsidRPr="009158AE">
        <w:t xml:space="preserve"> </w:t>
      </w:r>
      <w:r w:rsidRPr="009158AE">
        <w:t>to confirm certification for the upcoming plan year.</w:t>
      </w:r>
    </w:p>
    <w:p w14:paraId="34E70B19" w14:textId="28A98ED7" w:rsidR="00001D28" w:rsidRDefault="00947477" w:rsidP="00A53E91">
      <w:pPr>
        <w:spacing w:line="240" w:lineRule="auto"/>
        <w:rPr>
          <w:i/>
          <w:iCs/>
        </w:rPr>
      </w:pPr>
      <w:r>
        <w:t>C</w:t>
      </w:r>
      <w:r w:rsidR="00001D28">
        <w:t>ertified EDE Partners</w:t>
      </w:r>
      <w:r>
        <w:t xml:space="preserve"> receive</w:t>
      </w:r>
      <w:r w:rsidR="00001D28">
        <w:t>:</w:t>
      </w:r>
    </w:p>
    <w:p w14:paraId="1EA17F92" w14:textId="77777777" w:rsidR="00001D28" w:rsidRDefault="00001D28" w:rsidP="008E39B8">
      <w:pPr>
        <w:pStyle w:val="ListParagraph"/>
        <w:numPr>
          <w:ilvl w:val="0"/>
          <w:numId w:val="12"/>
        </w:numPr>
        <w:spacing w:line="240" w:lineRule="auto"/>
      </w:pPr>
      <w:r>
        <w:t>A certificate indicating EDE Partner certification for the designated plan year.</w:t>
      </w:r>
    </w:p>
    <w:p w14:paraId="34A7D470" w14:textId="77777777" w:rsidR="00001D28" w:rsidRDefault="00001D28" w:rsidP="008E39B8">
      <w:pPr>
        <w:pStyle w:val="ListParagraph"/>
        <w:numPr>
          <w:ilvl w:val="0"/>
          <w:numId w:val="12"/>
        </w:numPr>
        <w:spacing w:line="240" w:lineRule="auto"/>
      </w:pPr>
      <w:r>
        <w:t>Approval to start marketing to consumers.</w:t>
      </w:r>
    </w:p>
    <w:p w14:paraId="258DA2B5" w14:textId="35132E7C" w:rsidR="00001D28" w:rsidRDefault="00947477" w:rsidP="00A53E91">
      <w:pPr>
        <w:spacing w:line="240" w:lineRule="auto"/>
      </w:pPr>
      <w:r>
        <w:t xml:space="preserve">The Georgia Access </w:t>
      </w:r>
      <w:r w:rsidR="002677B2">
        <w:t>website</w:t>
      </w:r>
      <w:r>
        <w:t xml:space="preserve"> display</w:t>
      </w:r>
      <w:r w:rsidR="009C6E40">
        <w:t>s</w:t>
      </w:r>
      <w:r>
        <w:t xml:space="preserve"> </w:t>
      </w:r>
      <w:r w:rsidR="00F92340">
        <w:t xml:space="preserve">all certified </w:t>
      </w:r>
      <w:r>
        <w:t>EDE Partners</w:t>
      </w:r>
      <w:r w:rsidR="000A67D0">
        <w:t xml:space="preserve"> for the upcoming plan year </w:t>
      </w:r>
      <w:r w:rsidR="00F119E1">
        <w:t>ahead of</w:t>
      </w:r>
      <w:r w:rsidR="005F12D7">
        <w:t xml:space="preserve"> OE</w:t>
      </w:r>
      <w:r w:rsidR="00475562">
        <w:t>.</w:t>
      </w:r>
      <w:r w:rsidR="00474BA7">
        <w:t xml:space="preserve"> EDE Partners </w:t>
      </w:r>
      <w:r w:rsidR="00536140">
        <w:t xml:space="preserve">that are </w:t>
      </w:r>
      <w:r w:rsidR="00474BA7">
        <w:t xml:space="preserve">not certified </w:t>
      </w:r>
      <w:r w:rsidR="00536140">
        <w:t>in time for OE participation are added to the Georgia Access website based on their go-live date.</w:t>
      </w:r>
    </w:p>
    <w:p w14:paraId="45A7C14F" w14:textId="455954DB" w:rsidR="00001D28" w:rsidRDefault="00001D28" w:rsidP="008E39B8">
      <w:pPr>
        <w:pStyle w:val="ListParagraph"/>
        <w:numPr>
          <w:ilvl w:val="0"/>
          <w:numId w:val="10"/>
        </w:numPr>
        <w:spacing w:line="240" w:lineRule="auto"/>
      </w:pPr>
      <w:r>
        <w:t>EDE Partners that</w:t>
      </w:r>
      <w:r w:rsidR="00D81C9B">
        <w:t xml:space="preserve"> are certified </w:t>
      </w:r>
      <w:r w:rsidR="001E16C7">
        <w:t>to</w:t>
      </w:r>
      <w:r>
        <w:t xml:space="preserve"> go live </w:t>
      </w:r>
      <w:r w:rsidR="001E16C7">
        <w:t xml:space="preserve">for the upcoming </w:t>
      </w:r>
      <w:r>
        <w:t xml:space="preserve">OE are displayed on the Georgia Access </w:t>
      </w:r>
      <w:r w:rsidR="002677B2">
        <w:t>website</w:t>
      </w:r>
      <w:r>
        <w:t xml:space="preserve"> at least one month </w:t>
      </w:r>
      <w:r w:rsidR="001E16C7">
        <w:t>prior to</w:t>
      </w:r>
      <w:r>
        <w:t xml:space="preserve"> OE. </w:t>
      </w:r>
    </w:p>
    <w:p w14:paraId="19B79F1A" w14:textId="40B94A97" w:rsidR="009158AE" w:rsidRPr="009158AE" w:rsidRDefault="00001D28" w:rsidP="008E39B8">
      <w:pPr>
        <w:pStyle w:val="ListParagraph"/>
        <w:numPr>
          <w:ilvl w:val="0"/>
          <w:numId w:val="10"/>
        </w:numPr>
        <w:spacing w:line="240" w:lineRule="auto"/>
      </w:pPr>
      <w:r>
        <w:t>EDE Partners</w:t>
      </w:r>
      <w:r w:rsidR="00686070">
        <w:t xml:space="preserve"> that</w:t>
      </w:r>
      <w:r w:rsidR="001E16C7">
        <w:t xml:space="preserve"> are certified midyear to begin supporting consumers during SEPs </w:t>
      </w:r>
      <w:r>
        <w:t xml:space="preserve">are displayed on the Georgia Access </w:t>
      </w:r>
      <w:r w:rsidR="002677B2">
        <w:t>website</w:t>
      </w:r>
      <w:r>
        <w:t xml:space="preserve"> </w:t>
      </w:r>
      <w:r w:rsidR="00930455">
        <w:t>on a go-live date agreed upon between the EDE Partner and Georgia Access</w:t>
      </w:r>
      <w:r>
        <w:t>.</w:t>
      </w:r>
    </w:p>
    <w:p w14:paraId="3DB7D1A9" w14:textId="06AE0FE5" w:rsidR="00D273D7" w:rsidRDefault="00D273D7" w:rsidP="00A53E91">
      <w:pPr>
        <w:pStyle w:val="Heading3"/>
        <w:spacing w:line="240" w:lineRule="auto"/>
      </w:pPr>
      <w:bookmarkStart w:id="58" w:name="_Toc209003040"/>
      <w:r>
        <w:t>Failure to Meet Certification Requirements</w:t>
      </w:r>
      <w:bookmarkEnd w:id="58"/>
    </w:p>
    <w:p w14:paraId="598D8975" w14:textId="720117D8" w:rsidR="00124DAE" w:rsidRDefault="00124DAE" w:rsidP="00A53E91">
      <w:pPr>
        <w:spacing w:line="240" w:lineRule="auto"/>
      </w:pPr>
      <w:r>
        <w:t xml:space="preserve">If an EDE Partner applicant is at risk of failing to meet requirements or milestones during the certification process, </w:t>
      </w:r>
      <w:r w:rsidR="00AF483A">
        <w:t>Georgia Access</w:t>
      </w:r>
      <w:r>
        <w:t>:</w:t>
      </w:r>
    </w:p>
    <w:p w14:paraId="25DF4385" w14:textId="7242F414" w:rsidR="00124DAE" w:rsidRDefault="00124DAE" w:rsidP="008E39B8">
      <w:pPr>
        <w:pStyle w:val="ListParagraph"/>
        <w:numPr>
          <w:ilvl w:val="0"/>
          <w:numId w:val="32"/>
        </w:numPr>
        <w:spacing w:line="240" w:lineRule="auto"/>
      </w:pPr>
      <w:r>
        <w:t>Provide</w:t>
      </w:r>
      <w:r w:rsidR="00686070">
        <w:t>s</w:t>
      </w:r>
      <w:r>
        <w:t xml:space="preserve"> a </w:t>
      </w:r>
      <w:r w:rsidRPr="00E53424">
        <w:rPr>
          <w:i/>
          <w:iCs/>
        </w:rPr>
        <w:t xml:space="preserve">Notice of Risk for Noncompliance </w:t>
      </w:r>
      <w:r>
        <w:t>to the EDE Partner applicant.</w:t>
      </w:r>
    </w:p>
    <w:p w14:paraId="012DFC05" w14:textId="7567AA0D" w:rsidR="00124DAE" w:rsidRDefault="00124DAE" w:rsidP="008E39B8">
      <w:pPr>
        <w:pStyle w:val="ListParagraph"/>
        <w:numPr>
          <w:ilvl w:val="0"/>
          <w:numId w:val="32"/>
        </w:numPr>
        <w:spacing w:line="240" w:lineRule="auto"/>
      </w:pPr>
      <w:r>
        <w:lastRenderedPageBreak/>
        <w:t>Work</w:t>
      </w:r>
      <w:r w:rsidR="00686070">
        <w:t>s</w:t>
      </w:r>
      <w:r>
        <w:t xml:space="preserve"> with the EDE Partner applicant to identify a corrective action plan.</w:t>
      </w:r>
    </w:p>
    <w:p w14:paraId="5C29EFDB" w14:textId="2CDA75A1" w:rsidR="00124DAE" w:rsidRDefault="00124DAE" w:rsidP="00A53E91">
      <w:pPr>
        <w:spacing w:line="240" w:lineRule="auto"/>
      </w:pPr>
      <w:r>
        <w:t xml:space="preserve">If the EDE Partner applicant fails to meet key requirements or milestones, </w:t>
      </w:r>
      <w:r w:rsidR="00AF483A">
        <w:t>Georgia Access</w:t>
      </w:r>
      <w:r>
        <w:t>:</w:t>
      </w:r>
    </w:p>
    <w:p w14:paraId="4FE38C8F" w14:textId="285D0837" w:rsidR="00124DAE" w:rsidRDefault="00124DAE" w:rsidP="008E39B8">
      <w:pPr>
        <w:pStyle w:val="ListParagraph"/>
        <w:numPr>
          <w:ilvl w:val="0"/>
          <w:numId w:val="33"/>
        </w:numPr>
        <w:spacing w:line="240" w:lineRule="auto"/>
      </w:pPr>
      <w:r>
        <w:t>Provide</w:t>
      </w:r>
      <w:r w:rsidR="00686070">
        <w:t>s</w:t>
      </w:r>
      <w:r>
        <w:t xml:space="preserve"> </w:t>
      </w:r>
      <w:r w:rsidR="00686070">
        <w:t xml:space="preserve">a </w:t>
      </w:r>
      <w:r>
        <w:t xml:space="preserve">written </w:t>
      </w:r>
      <w:r w:rsidRPr="00E53424">
        <w:rPr>
          <w:i/>
          <w:iCs/>
        </w:rPr>
        <w:t xml:space="preserve">Notice of Noncompliance </w:t>
      </w:r>
      <w:r>
        <w:t>indicating to the EDE Partner which certification milestones it has not met and potential impact on certification and go-live.</w:t>
      </w:r>
    </w:p>
    <w:p w14:paraId="679433BF" w14:textId="724A2F96" w:rsidR="00124DAE" w:rsidRDefault="00124DAE" w:rsidP="008E39B8">
      <w:pPr>
        <w:pStyle w:val="ListParagraph"/>
        <w:numPr>
          <w:ilvl w:val="0"/>
          <w:numId w:val="33"/>
        </w:numPr>
        <w:spacing w:line="240" w:lineRule="auto"/>
      </w:pPr>
      <w:r>
        <w:t>Request</w:t>
      </w:r>
      <w:r w:rsidR="00686070">
        <w:t>s</w:t>
      </w:r>
      <w:r>
        <w:t xml:space="preserve"> a remediation plan from the EDE Partner applicant.</w:t>
      </w:r>
    </w:p>
    <w:p w14:paraId="3B921282" w14:textId="0B13DAEA" w:rsidR="00124DAE" w:rsidRDefault="00124DAE" w:rsidP="008E39B8">
      <w:pPr>
        <w:pStyle w:val="ListParagraph"/>
        <w:numPr>
          <w:ilvl w:val="0"/>
          <w:numId w:val="33"/>
        </w:numPr>
        <w:spacing w:line="240" w:lineRule="auto"/>
      </w:pPr>
      <w:r>
        <w:t>Meet</w:t>
      </w:r>
      <w:r w:rsidR="00686070">
        <w:t>s</w:t>
      </w:r>
      <w:r>
        <w:t xml:space="preserve"> with the EDE Partner applicant to review and confirm remediation plan.</w:t>
      </w:r>
    </w:p>
    <w:p w14:paraId="6DDCE32F" w14:textId="3D253768" w:rsidR="00124DAE" w:rsidRDefault="00124DAE" w:rsidP="00A53E91">
      <w:pPr>
        <w:tabs>
          <w:tab w:val="left" w:pos="5670"/>
        </w:tabs>
        <w:spacing w:line="240" w:lineRule="auto"/>
      </w:pPr>
      <w:r>
        <w:t xml:space="preserve">If </w:t>
      </w:r>
      <w:r w:rsidR="00AF483A">
        <w:t xml:space="preserve">Georgia Access </w:t>
      </w:r>
      <w:r>
        <w:t>determine</w:t>
      </w:r>
      <w:r w:rsidR="00AF483A">
        <w:t>s</w:t>
      </w:r>
      <w:r>
        <w:t xml:space="preserve"> that the EDE Partner </w:t>
      </w:r>
      <w:r w:rsidR="00C20BE4">
        <w:t xml:space="preserve">applicant </w:t>
      </w:r>
      <w:r>
        <w:t xml:space="preserve">may need to delay certification and go-live until requirements have been met, </w:t>
      </w:r>
      <w:r w:rsidR="00AF483A">
        <w:t>Georgia Access</w:t>
      </w:r>
      <w:r>
        <w:t xml:space="preserve"> schedule</w:t>
      </w:r>
      <w:r w:rsidR="0015122B">
        <w:t>s</w:t>
      </w:r>
      <w:r w:rsidR="00C20BE4">
        <w:t xml:space="preserve"> </w:t>
      </w:r>
      <w:r>
        <w:t xml:space="preserve">a meeting to review circumstances with the EDE Partner </w:t>
      </w:r>
      <w:r w:rsidR="00C20BE4">
        <w:t xml:space="preserve">applicant </w:t>
      </w:r>
      <w:r>
        <w:t xml:space="preserve">and discuss what actions are needed. </w:t>
      </w:r>
      <w:r w:rsidR="00AF483A">
        <w:t>If a certification delay is deemed necessary, Georgia Access:</w:t>
      </w:r>
    </w:p>
    <w:p w14:paraId="4E0479BC" w14:textId="5EA4BB17" w:rsidR="00124DAE" w:rsidRDefault="00124DAE" w:rsidP="008E39B8">
      <w:pPr>
        <w:pStyle w:val="ListParagraph"/>
        <w:numPr>
          <w:ilvl w:val="0"/>
          <w:numId w:val="13"/>
        </w:numPr>
        <w:tabs>
          <w:tab w:val="left" w:pos="5670"/>
        </w:tabs>
        <w:spacing w:line="240" w:lineRule="auto"/>
      </w:pPr>
      <w:r>
        <w:t>Send</w:t>
      </w:r>
      <w:r w:rsidR="0015122B">
        <w:t>s</w:t>
      </w:r>
      <w:r>
        <w:t xml:space="preserve"> the EDE Partner applicant a </w:t>
      </w:r>
      <w:r w:rsidRPr="003F14B2">
        <w:rPr>
          <w:i/>
          <w:iCs/>
        </w:rPr>
        <w:t>Notice of Certification Delay</w:t>
      </w:r>
      <w:r>
        <w:rPr>
          <w:i/>
          <w:iCs/>
        </w:rPr>
        <w:t>.</w:t>
      </w:r>
    </w:p>
    <w:p w14:paraId="1CBEFE49" w14:textId="1548B674" w:rsidR="00124DAE" w:rsidRDefault="00124DAE" w:rsidP="008E39B8">
      <w:pPr>
        <w:pStyle w:val="ListParagraph"/>
        <w:numPr>
          <w:ilvl w:val="0"/>
          <w:numId w:val="13"/>
        </w:numPr>
        <w:tabs>
          <w:tab w:val="left" w:pos="5670"/>
        </w:tabs>
        <w:spacing w:line="240" w:lineRule="auto"/>
      </w:pPr>
      <w:r>
        <w:t>Work</w:t>
      </w:r>
      <w:r w:rsidR="0015122B">
        <w:t>s</w:t>
      </w:r>
      <w:r>
        <w:t xml:space="preserve"> with the EDE Partner applicant to identi</w:t>
      </w:r>
      <w:r w:rsidR="0015122B">
        <w:t>f</w:t>
      </w:r>
      <w:r>
        <w:t>y a new go-live date.</w:t>
      </w:r>
    </w:p>
    <w:p w14:paraId="662DF9F4" w14:textId="758C2CAB" w:rsidR="00124DAE" w:rsidRDefault="00124DAE" w:rsidP="008E39B8">
      <w:pPr>
        <w:pStyle w:val="ListParagraph"/>
        <w:numPr>
          <w:ilvl w:val="0"/>
          <w:numId w:val="13"/>
        </w:numPr>
        <w:tabs>
          <w:tab w:val="left" w:pos="5670"/>
        </w:tabs>
        <w:spacing w:line="240" w:lineRule="auto"/>
      </w:pPr>
      <w:r>
        <w:t>Provide</w:t>
      </w:r>
      <w:r w:rsidR="0015122B">
        <w:t>s</w:t>
      </w:r>
      <w:r>
        <w:t xml:space="preserve"> a list of next steps and requirements for certification.</w:t>
      </w:r>
    </w:p>
    <w:p w14:paraId="6880F66B" w14:textId="107B1C90" w:rsidR="00D273D7" w:rsidRDefault="00D273D7" w:rsidP="00A53E91">
      <w:pPr>
        <w:pStyle w:val="Heading3"/>
        <w:spacing w:line="240" w:lineRule="auto"/>
      </w:pPr>
      <w:bookmarkStart w:id="59" w:name="_EDE_Partner_Applicant-Initiated"/>
      <w:bookmarkStart w:id="60" w:name="_Toc209003041"/>
      <w:bookmarkEnd w:id="59"/>
      <w:r>
        <w:t>EDE Partner</w:t>
      </w:r>
      <w:r w:rsidR="005E2F2E">
        <w:t xml:space="preserve"> </w:t>
      </w:r>
      <w:r w:rsidR="0096393A">
        <w:t>A</w:t>
      </w:r>
      <w:r w:rsidR="005E2F2E">
        <w:t>pplicant</w:t>
      </w:r>
      <w:r>
        <w:t>-Initiated Delay</w:t>
      </w:r>
      <w:bookmarkEnd w:id="60"/>
    </w:p>
    <w:p w14:paraId="34F19BD9" w14:textId="75B09647" w:rsidR="00E94DB1" w:rsidRDefault="00E94DB1" w:rsidP="00A53E91">
      <w:pPr>
        <w:tabs>
          <w:tab w:val="left" w:pos="5670"/>
        </w:tabs>
        <w:spacing w:line="240" w:lineRule="auto"/>
      </w:pPr>
      <w:r>
        <w:t xml:space="preserve">An EDE Partner applicant must notify Georgia Access if they wish to delay initial certification. </w:t>
      </w:r>
      <w:r w:rsidR="00461FAA">
        <w:t xml:space="preserve">Upon receipt of this notification, </w:t>
      </w:r>
      <w:r>
        <w:t>Georgia Access</w:t>
      </w:r>
      <w:r w:rsidR="000E215D">
        <w:t xml:space="preserve"> </w:t>
      </w:r>
      <w:r>
        <w:t>schedule</w:t>
      </w:r>
      <w:r w:rsidR="00461FAA">
        <w:t>s</w:t>
      </w:r>
      <w:r w:rsidR="000E215D">
        <w:t xml:space="preserve"> </w:t>
      </w:r>
      <w:r>
        <w:t xml:space="preserve">a </w:t>
      </w:r>
      <w:r w:rsidRPr="003F14B2">
        <w:t>meeting</w:t>
      </w:r>
      <w:r>
        <w:t xml:space="preserve"> to review circumstances with the EDE Partner </w:t>
      </w:r>
      <w:r w:rsidR="00547D8E">
        <w:t xml:space="preserve">applicant </w:t>
      </w:r>
      <w:r>
        <w:t>and discuss what actions are needed.</w:t>
      </w:r>
    </w:p>
    <w:p w14:paraId="33F4A3DB" w14:textId="429014D5" w:rsidR="00E94DB1" w:rsidRDefault="00E94DB1" w:rsidP="00A53E91">
      <w:pPr>
        <w:tabs>
          <w:tab w:val="left" w:pos="5670"/>
        </w:tabs>
        <w:spacing w:line="240" w:lineRule="auto"/>
      </w:pPr>
      <w:r>
        <w:t xml:space="preserve">If the EDE Partner </w:t>
      </w:r>
      <w:r w:rsidR="005E2F2E">
        <w:t xml:space="preserve">applicant </w:t>
      </w:r>
      <w:r>
        <w:t>elects to delay certification, Georgia Access:</w:t>
      </w:r>
    </w:p>
    <w:p w14:paraId="4B3EE219" w14:textId="382F6BCF" w:rsidR="00E94DB1" w:rsidRPr="002E66FD" w:rsidRDefault="00E94DB1" w:rsidP="008E39B8">
      <w:pPr>
        <w:pStyle w:val="ListParagraph"/>
        <w:numPr>
          <w:ilvl w:val="0"/>
          <w:numId w:val="14"/>
        </w:numPr>
        <w:tabs>
          <w:tab w:val="left" w:pos="5670"/>
        </w:tabs>
        <w:spacing w:line="240" w:lineRule="auto"/>
      </w:pPr>
      <w:proofErr w:type="gramStart"/>
      <w:r>
        <w:t>Send</w:t>
      </w:r>
      <w:r w:rsidR="00461FAA">
        <w:t>s</w:t>
      </w:r>
      <w:proofErr w:type="gramEnd"/>
      <w:r>
        <w:t xml:space="preserve"> an email to the EDE Partner applicant’s designated POC confirming the EDE Partner </w:t>
      </w:r>
      <w:r w:rsidRPr="002E66FD">
        <w:t>applicant plans to delay certification.</w:t>
      </w:r>
    </w:p>
    <w:p w14:paraId="4674B53E" w14:textId="38C6DEF4" w:rsidR="00E94DB1" w:rsidRPr="002E66FD" w:rsidRDefault="00E94DB1" w:rsidP="008E39B8">
      <w:pPr>
        <w:pStyle w:val="ListParagraph"/>
        <w:numPr>
          <w:ilvl w:val="0"/>
          <w:numId w:val="14"/>
        </w:numPr>
        <w:tabs>
          <w:tab w:val="left" w:pos="5670"/>
        </w:tabs>
        <w:spacing w:line="240" w:lineRule="auto"/>
      </w:pPr>
      <w:r w:rsidRPr="002E66FD">
        <w:t>Work</w:t>
      </w:r>
      <w:r w:rsidR="00461FAA" w:rsidRPr="002E66FD">
        <w:t>s</w:t>
      </w:r>
      <w:r w:rsidRPr="002E66FD">
        <w:t xml:space="preserve"> with the EDE Partner </w:t>
      </w:r>
      <w:r w:rsidR="00547D8E" w:rsidRPr="002E66FD">
        <w:t xml:space="preserve">applicant </w:t>
      </w:r>
      <w:r w:rsidRPr="002E66FD">
        <w:t>to identify a new certification and go-live date.</w:t>
      </w:r>
    </w:p>
    <w:p w14:paraId="7E738E9E" w14:textId="50520DE4" w:rsidR="00AF483A" w:rsidRPr="002E66FD" w:rsidRDefault="00E94DB1" w:rsidP="008E39B8">
      <w:pPr>
        <w:pStyle w:val="ListParagraph"/>
        <w:numPr>
          <w:ilvl w:val="0"/>
          <w:numId w:val="14"/>
        </w:numPr>
        <w:tabs>
          <w:tab w:val="left" w:pos="5670"/>
        </w:tabs>
        <w:spacing w:line="240" w:lineRule="auto"/>
      </w:pPr>
      <w:r w:rsidRPr="002E66FD">
        <w:t>Provide</w:t>
      </w:r>
      <w:r w:rsidR="00461FAA" w:rsidRPr="002E66FD">
        <w:t>s</w:t>
      </w:r>
      <w:r w:rsidRPr="002E66FD">
        <w:t xml:space="preserve"> next steps for the EDE Partner.</w:t>
      </w:r>
    </w:p>
    <w:p w14:paraId="7618AC60" w14:textId="76C7AB3C" w:rsidR="00D273D7" w:rsidRPr="002E66FD" w:rsidRDefault="00D273D7" w:rsidP="00A53E91">
      <w:pPr>
        <w:pStyle w:val="Heading3"/>
        <w:spacing w:line="240" w:lineRule="auto"/>
      </w:pPr>
      <w:bookmarkStart w:id="61" w:name="_EDE_Partner_Applicant-Initiated_1"/>
      <w:bookmarkStart w:id="62" w:name="_Toc209003042"/>
      <w:bookmarkEnd w:id="61"/>
      <w:r>
        <w:t>EDE Partner</w:t>
      </w:r>
      <w:r w:rsidR="00125EE5">
        <w:t xml:space="preserve"> </w:t>
      </w:r>
      <w:r w:rsidR="00CD1D82">
        <w:t>A</w:t>
      </w:r>
      <w:r w:rsidR="00125EE5">
        <w:t>pplicant</w:t>
      </w:r>
      <w:r>
        <w:t>-Initiated Withdrawal</w:t>
      </w:r>
      <w:bookmarkEnd w:id="62"/>
    </w:p>
    <w:p w14:paraId="02CDDB94" w14:textId="765C1127" w:rsidR="00D73A0B" w:rsidRDefault="00D73A0B" w:rsidP="00A53E91">
      <w:pPr>
        <w:tabs>
          <w:tab w:val="left" w:pos="5670"/>
        </w:tabs>
        <w:spacing w:line="240" w:lineRule="auto"/>
      </w:pPr>
      <w:r>
        <w:t xml:space="preserve">An EDE Partner applicant must notify Georgia Access if they wish to withdraw from initial certification. </w:t>
      </w:r>
      <w:r w:rsidR="00F869CB">
        <w:t xml:space="preserve">Upon receipt of this notification, </w:t>
      </w:r>
      <w:r>
        <w:t>Georgia Access schedules a meeting to review circumstances with the EDE Partner and discuss what actions may be needed.</w:t>
      </w:r>
    </w:p>
    <w:p w14:paraId="2E6D76FC" w14:textId="7A586832" w:rsidR="00D73A0B" w:rsidRDefault="00D73A0B" w:rsidP="00A53E91">
      <w:pPr>
        <w:tabs>
          <w:tab w:val="left" w:pos="5670"/>
        </w:tabs>
        <w:spacing w:line="240" w:lineRule="auto"/>
      </w:pPr>
      <w:r>
        <w:t xml:space="preserve">If the EDE Partner </w:t>
      </w:r>
      <w:r w:rsidR="00D0231D">
        <w:t>applicant</w:t>
      </w:r>
      <w:r>
        <w:t xml:space="preserve"> elects to withdraw from the certification process, Georgia Access:</w:t>
      </w:r>
    </w:p>
    <w:p w14:paraId="4EA2C4B7" w14:textId="6B304253" w:rsidR="00D73A0B" w:rsidRPr="00A53E91" w:rsidRDefault="00D73A0B" w:rsidP="008E39B8">
      <w:pPr>
        <w:pStyle w:val="ListParagraph"/>
        <w:numPr>
          <w:ilvl w:val="0"/>
          <w:numId w:val="15"/>
        </w:numPr>
        <w:tabs>
          <w:tab w:val="left" w:pos="5670"/>
        </w:tabs>
        <w:spacing w:line="240" w:lineRule="auto"/>
        <w:rPr>
          <w:strike/>
        </w:rPr>
      </w:pPr>
      <w:proofErr w:type="gramStart"/>
      <w:r>
        <w:t>Send</w:t>
      </w:r>
      <w:r w:rsidR="00F869CB">
        <w:t>s</w:t>
      </w:r>
      <w:proofErr w:type="gramEnd"/>
      <w:r>
        <w:t xml:space="preserve"> an email to the EDE Partner applicant’s designated POC confirming the EDE Partner applicant plans to withdraw from the certification process.</w:t>
      </w:r>
    </w:p>
    <w:p w14:paraId="022595DA" w14:textId="1EABB311" w:rsidR="009C7D5B" w:rsidRPr="009C7D5B" w:rsidRDefault="00D73A0B" w:rsidP="008E39B8">
      <w:pPr>
        <w:pStyle w:val="ListParagraph"/>
        <w:numPr>
          <w:ilvl w:val="0"/>
          <w:numId w:val="15"/>
        </w:numPr>
        <w:tabs>
          <w:tab w:val="left" w:pos="5670"/>
        </w:tabs>
        <w:spacing w:line="240" w:lineRule="auto"/>
      </w:pPr>
      <w:r>
        <w:t>Remove</w:t>
      </w:r>
      <w:r w:rsidR="00F869CB">
        <w:t>s</w:t>
      </w:r>
      <w:r>
        <w:t xml:space="preserve"> the entity from upcoming program and technical sessions.</w:t>
      </w:r>
    </w:p>
    <w:p w14:paraId="27A9025F" w14:textId="6DF3F8E8" w:rsidR="00D117D4" w:rsidRDefault="00D117D4" w:rsidP="00A53E91">
      <w:pPr>
        <w:pStyle w:val="Heading2"/>
        <w:spacing w:line="240" w:lineRule="auto"/>
      </w:pPr>
      <w:bookmarkStart w:id="63" w:name="_Toc209003043"/>
      <w:r>
        <w:t xml:space="preserve">Ongoing Requirements and </w:t>
      </w:r>
      <w:r w:rsidR="00671B1A">
        <w:t>Policies</w:t>
      </w:r>
      <w:bookmarkEnd w:id="63"/>
    </w:p>
    <w:p w14:paraId="2AD3B926" w14:textId="5CB4EE29" w:rsidR="002B60C5" w:rsidRDefault="002B60C5" w:rsidP="00A53E91">
      <w:pPr>
        <w:spacing w:line="240" w:lineRule="auto"/>
      </w:pPr>
      <w:r>
        <w:t xml:space="preserve">This section outlines the additional and ongoing requirements for certified EDE Partners to participate in Georgia Access and the policies for Georgia Access to manage EDE Partners. </w:t>
      </w:r>
      <w:r w:rsidR="00835FA6">
        <w:t xml:space="preserve">Georgia Access </w:t>
      </w:r>
      <w:r>
        <w:t>requires certified EDE Partners to:</w:t>
      </w:r>
    </w:p>
    <w:p w14:paraId="1772BC73" w14:textId="5027E891" w:rsidR="002B60C5" w:rsidRDefault="002B60C5" w:rsidP="008E39B8">
      <w:pPr>
        <w:pStyle w:val="ListParagraph"/>
        <w:numPr>
          <w:ilvl w:val="0"/>
          <w:numId w:val="16"/>
        </w:numPr>
        <w:spacing w:line="240" w:lineRule="auto"/>
      </w:pPr>
      <w:r>
        <w:t>Provide written requests for optional changes to consumer application</w:t>
      </w:r>
      <w:r w:rsidR="00011B41">
        <w:t>s</w:t>
      </w:r>
      <w:r>
        <w:t xml:space="preserve"> mid-certification year.</w:t>
      </w:r>
    </w:p>
    <w:p w14:paraId="27B452DB" w14:textId="77777777" w:rsidR="002B60C5" w:rsidRDefault="002B60C5" w:rsidP="008E39B8">
      <w:pPr>
        <w:pStyle w:val="ListParagraph"/>
        <w:numPr>
          <w:ilvl w:val="0"/>
          <w:numId w:val="16"/>
        </w:numPr>
        <w:spacing w:line="240" w:lineRule="auto"/>
      </w:pPr>
      <w:r>
        <w:t>Participate in ongoing program sessions as necessary.</w:t>
      </w:r>
    </w:p>
    <w:p w14:paraId="4BDB758C" w14:textId="77777777" w:rsidR="002B60C5" w:rsidRDefault="002B60C5" w:rsidP="008E39B8">
      <w:pPr>
        <w:pStyle w:val="ListParagraph"/>
        <w:numPr>
          <w:ilvl w:val="0"/>
          <w:numId w:val="16"/>
        </w:numPr>
        <w:spacing w:line="240" w:lineRule="auto"/>
      </w:pPr>
      <w:r>
        <w:t>Participate in technical sessions as necessary.</w:t>
      </w:r>
    </w:p>
    <w:p w14:paraId="3D395B78" w14:textId="77777777" w:rsidR="002B60C5" w:rsidRDefault="002B60C5" w:rsidP="008E39B8">
      <w:pPr>
        <w:pStyle w:val="ListParagraph"/>
        <w:numPr>
          <w:ilvl w:val="0"/>
          <w:numId w:val="16"/>
        </w:numPr>
        <w:spacing w:line="240" w:lineRule="auto"/>
      </w:pPr>
      <w:r>
        <w:t>Provide consumer engagement reporting.</w:t>
      </w:r>
    </w:p>
    <w:p w14:paraId="7138CB14" w14:textId="6C51675C" w:rsidR="002B60C5" w:rsidRPr="002B60C5" w:rsidRDefault="002B60C5" w:rsidP="008E39B8">
      <w:pPr>
        <w:pStyle w:val="ListParagraph"/>
        <w:numPr>
          <w:ilvl w:val="0"/>
          <w:numId w:val="16"/>
        </w:numPr>
        <w:spacing w:line="240" w:lineRule="auto"/>
      </w:pPr>
      <w:r>
        <w:t xml:space="preserve">Provide written </w:t>
      </w:r>
      <w:proofErr w:type="gramStart"/>
      <w:r>
        <w:t>request</w:t>
      </w:r>
      <w:proofErr w:type="gramEnd"/>
      <w:r>
        <w:t xml:space="preserve"> for changes to certification status mid-certification year.</w:t>
      </w:r>
    </w:p>
    <w:p w14:paraId="0BD867A5" w14:textId="624669B8" w:rsidR="00DF6395" w:rsidRPr="00DF6395" w:rsidRDefault="00D273D7" w:rsidP="00A53E91">
      <w:pPr>
        <w:pStyle w:val="Heading3"/>
        <w:spacing w:line="240" w:lineRule="auto"/>
      </w:pPr>
      <w:bookmarkStart w:id="64" w:name="_Toc209003044"/>
      <w:r>
        <w:lastRenderedPageBreak/>
        <w:t xml:space="preserve">Change Control </w:t>
      </w:r>
      <w:r w:rsidR="00671B1A">
        <w:t>Policy</w:t>
      </w:r>
      <w:bookmarkEnd w:id="64"/>
    </w:p>
    <w:p w14:paraId="7DB6CAC2" w14:textId="689D75CD" w:rsidR="003E1288" w:rsidRDefault="003E1288" w:rsidP="00A53E91">
      <w:pPr>
        <w:pStyle w:val="Heading4"/>
        <w:spacing w:line="240" w:lineRule="auto"/>
      </w:pPr>
      <w:r>
        <w:t>Georgia Access Required Changes</w:t>
      </w:r>
    </w:p>
    <w:p w14:paraId="19B42A87" w14:textId="67288584" w:rsidR="00390329" w:rsidRDefault="00086AEB" w:rsidP="00A53E91">
      <w:pPr>
        <w:spacing w:line="240" w:lineRule="auto"/>
      </w:pPr>
      <w:r>
        <w:t>Georgia Access</w:t>
      </w:r>
      <w:r w:rsidR="00390329">
        <w:t xml:space="preserve"> distribute</w:t>
      </w:r>
      <w:r w:rsidR="00011B41">
        <w:t>s</w:t>
      </w:r>
      <w:r w:rsidR="00F030CB">
        <w:t xml:space="preserve"> </w:t>
      </w:r>
      <w:r w:rsidR="00390329">
        <w:t xml:space="preserve">an updated version of the </w:t>
      </w:r>
      <w:r w:rsidR="00390329" w:rsidRPr="00E54ADB">
        <w:rPr>
          <w:i/>
          <w:iCs/>
        </w:rPr>
        <w:t>Georgia Access UI Question Companion Guide</w:t>
      </w:r>
      <w:r w:rsidR="00390329">
        <w:t xml:space="preserve"> and </w:t>
      </w:r>
      <w:r w:rsidR="00390329" w:rsidRPr="00E54ADB">
        <w:rPr>
          <w:i/>
          <w:iCs/>
        </w:rPr>
        <w:t>Georgia Access Communications Toolkit</w:t>
      </w:r>
      <w:r w:rsidR="00390329">
        <w:t xml:space="preserve"> </w:t>
      </w:r>
      <w:r w:rsidR="00E717AD">
        <w:t xml:space="preserve">annually to outline </w:t>
      </w:r>
      <w:r w:rsidR="004D554F">
        <w:t>required changes that EDE Partners must implement</w:t>
      </w:r>
      <w:r w:rsidR="00390329">
        <w:t>.</w:t>
      </w:r>
    </w:p>
    <w:p w14:paraId="216F40A8" w14:textId="0BED1E64" w:rsidR="003E1288" w:rsidRDefault="003E1288" w:rsidP="00A53E91">
      <w:pPr>
        <w:pStyle w:val="Heading4"/>
        <w:spacing w:line="240" w:lineRule="auto"/>
      </w:pPr>
      <w:bookmarkStart w:id="65" w:name="_Optional_Change_Requests"/>
      <w:bookmarkEnd w:id="65"/>
      <w:r>
        <w:t>Optional Change Requests</w:t>
      </w:r>
    </w:p>
    <w:p w14:paraId="46F7BCD6" w14:textId="788AE63F" w:rsidR="00470D9E" w:rsidRPr="00470D9E" w:rsidRDefault="00470D9E" w:rsidP="00A53E91">
      <w:pPr>
        <w:spacing w:line="240" w:lineRule="auto"/>
      </w:pPr>
      <w:r>
        <w:t>Primary EDE entities may request optional changes to their UI or QHP consumer application, or platform and security changes at any time during the plan year after OE 202</w:t>
      </w:r>
      <w:r w:rsidR="000A19A8">
        <w:t>5</w:t>
      </w:r>
      <w:r>
        <w:t>. Upstream EDE entities are only required to submit an optional change request if they plan to make changes to their primary entity’s platform and/or QHP consumer application.</w:t>
      </w:r>
    </w:p>
    <w:p w14:paraId="29144179" w14:textId="49043DC4" w:rsidR="00470D9E" w:rsidRPr="00470D9E" w:rsidRDefault="002D3B90" w:rsidP="00A53E91">
      <w:pPr>
        <w:spacing w:line="240" w:lineRule="auto"/>
      </w:pPr>
      <w:r>
        <w:t>Georgia Access’s</w:t>
      </w:r>
      <w:r w:rsidR="00470D9E" w:rsidRPr="00470D9E">
        <w:t xml:space="preserve"> Change Review Committee (CRC) </w:t>
      </w:r>
      <w:r w:rsidR="003B442A">
        <w:t xml:space="preserve">issues decisions on optional change requests </w:t>
      </w:r>
      <w:r w:rsidR="00547D8E">
        <w:t>to EDE Partners or EDE Partner applicants on an ongoing basis.</w:t>
      </w:r>
      <w:r w:rsidR="003F3E0C">
        <w:t xml:space="preserve"> </w:t>
      </w:r>
      <w:r w:rsidR="009408D2">
        <w:t xml:space="preserve">Optional change request decisions </w:t>
      </w:r>
      <w:r w:rsidR="00481BD6">
        <w:t xml:space="preserve">are </w:t>
      </w:r>
      <w:r w:rsidR="009408D2">
        <w:t xml:space="preserve">made </w:t>
      </w:r>
      <w:r w:rsidR="005A2C09">
        <w:t>at</w:t>
      </w:r>
      <w:r w:rsidR="009408D2">
        <w:t xml:space="preserve"> the CRC</w:t>
      </w:r>
      <w:r w:rsidR="005A2C09">
        <w:t>’s sole discretion,</w:t>
      </w:r>
      <w:r w:rsidR="009408D2">
        <w:t xml:space="preserve"> are final</w:t>
      </w:r>
      <w:r w:rsidR="005A2C09">
        <w:t>,</w:t>
      </w:r>
      <w:r w:rsidR="009408D2">
        <w:t xml:space="preserve"> and may not be appealed. </w:t>
      </w:r>
      <w:r w:rsidR="00470D9E" w:rsidRPr="00470D9E">
        <w:t xml:space="preserve">Refer to </w:t>
      </w:r>
      <w:hyperlink w:anchor="_Change_Review_Committee" w:history="1">
        <w:r w:rsidR="00FA1115">
          <w:rPr>
            <w:i/>
            <w:iCs/>
            <w:color w:val="0563C1" w:themeColor="hyperlink"/>
            <w:u w:val="single"/>
          </w:rPr>
          <w:t>Section 2.3.1.4 Change Review Committee (CRC)</w:t>
        </w:r>
      </w:hyperlink>
      <w:r w:rsidR="00470D9E" w:rsidRPr="00470D9E">
        <w:t xml:space="preserve"> for more details on the optional change request review process.</w:t>
      </w:r>
    </w:p>
    <w:p w14:paraId="09208FBC" w14:textId="530F0BB9" w:rsidR="00470D9E" w:rsidRPr="00470D9E" w:rsidRDefault="008B773E" w:rsidP="00A53E91">
      <w:pPr>
        <w:spacing w:line="240" w:lineRule="auto"/>
      </w:pPr>
      <w:r>
        <w:t>Georgia Access</w:t>
      </w:r>
      <w:r w:rsidR="00470D9E" w:rsidRPr="00470D9E">
        <w:t xml:space="preserve"> publish</w:t>
      </w:r>
      <w:r>
        <w:t>es</w:t>
      </w:r>
      <w:r w:rsidR="00470D9E" w:rsidRPr="00470D9E">
        <w:t xml:space="preserve"> </w:t>
      </w:r>
      <w:r w:rsidR="00CC7D86">
        <w:t>information about requesting optional changes</w:t>
      </w:r>
      <w:r w:rsidR="00263BE5">
        <w:t>, including the types of optional changes that EDE Partners or EDE Partner applicants may request as well as documentation required to facilitate a review of the request,</w:t>
      </w:r>
      <w:r w:rsidR="00CC7D86">
        <w:t xml:space="preserve"> in </w:t>
      </w:r>
      <w:r w:rsidR="00470D9E" w:rsidRPr="00470D9E">
        <w:t xml:space="preserve">the </w:t>
      </w:r>
      <w:r w:rsidR="00DE3130" w:rsidRPr="00DE3130">
        <w:rPr>
          <w:i/>
          <w:iCs/>
        </w:rPr>
        <w:t>PY 2025</w:t>
      </w:r>
      <w:r w:rsidR="00DE3130">
        <w:t xml:space="preserve"> </w:t>
      </w:r>
      <w:r w:rsidR="00470D9E" w:rsidRPr="00470D9E">
        <w:rPr>
          <w:i/>
        </w:rPr>
        <w:t xml:space="preserve">Georgia Access </w:t>
      </w:r>
      <w:r w:rsidR="00470D9E" w:rsidRPr="00470D9E">
        <w:rPr>
          <w:i/>
          <w:iCs/>
        </w:rPr>
        <w:t xml:space="preserve">EDE Partner </w:t>
      </w:r>
      <w:r w:rsidR="00CC7D86">
        <w:rPr>
          <w:i/>
        </w:rPr>
        <w:t>Application</w:t>
      </w:r>
      <w:r w:rsidR="00263BE5">
        <w:rPr>
          <w:i/>
        </w:rPr>
        <w:t>.</w:t>
      </w:r>
      <w:r w:rsidR="009408D2">
        <w:t xml:space="preserve"> </w:t>
      </w:r>
      <w:r w:rsidR="00470D9E" w:rsidRPr="00470D9E">
        <w:t>EDE Partner</w:t>
      </w:r>
      <w:r w:rsidR="005E51DC">
        <w:t>s</w:t>
      </w:r>
      <w:r w:rsidR="009243BE">
        <w:t xml:space="preserve"> or EDE Partner applicants</w:t>
      </w:r>
      <w:r w:rsidR="00470D9E" w:rsidRPr="00470D9E">
        <w:t xml:space="preserve"> requesting optional changes must submit at least the following information to </w:t>
      </w:r>
      <w:r w:rsidR="009909F7">
        <w:t>Georgia Access</w:t>
      </w:r>
      <w:r w:rsidR="00470D9E" w:rsidRPr="00470D9E">
        <w:t>:</w:t>
      </w:r>
    </w:p>
    <w:p w14:paraId="4136CB6E" w14:textId="0E5A8060" w:rsidR="00470D9E" w:rsidRPr="00470D9E" w:rsidRDefault="00470D9E" w:rsidP="008E39B8">
      <w:pPr>
        <w:numPr>
          <w:ilvl w:val="0"/>
          <w:numId w:val="19"/>
        </w:numPr>
        <w:spacing w:line="240" w:lineRule="auto"/>
        <w:contextualSpacing/>
      </w:pPr>
      <w:r w:rsidRPr="00DF6EE3">
        <w:rPr>
          <w:i/>
        </w:rPr>
        <w:t>Georgia Access Optional Change Request Notification Form,</w:t>
      </w:r>
      <w:r w:rsidRPr="00470D9E">
        <w:t xml:space="preserve"> notifying the SBE of the EDE Partner</w:t>
      </w:r>
      <w:r w:rsidR="004C3BEB">
        <w:t>’s or EDE Partner</w:t>
      </w:r>
      <w:r w:rsidRPr="00470D9E">
        <w:t xml:space="preserve"> applicant’s intent to request an optional change.</w:t>
      </w:r>
    </w:p>
    <w:p w14:paraId="6E271446" w14:textId="77777777" w:rsidR="00470D9E" w:rsidRPr="00470D9E" w:rsidRDefault="00470D9E" w:rsidP="008E39B8">
      <w:pPr>
        <w:numPr>
          <w:ilvl w:val="0"/>
          <w:numId w:val="19"/>
        </w:numPr>
        <w:spacing w:line="240" w:lineRule="auto"/>
        <w:contextualSpacing/>
      </w:pPr>
      <w:r w:rsidRPr="00DF6EE3">
        <w:rPr>
          <w:i/>
        </w:rPr>
        <w:t>Georgia Access Optional Change Request Form,</w:t>
      </w:r>
      <w:r w:rsidRPr="00470D9E">
        <w:t xml:space="preserve"> including a detailed technical description of the change and screenshots of any changes to front-end UI.</w:t>
      </w:r>
    </w:p>
    <w:p w14:paraId="6C41AF0C" w14:textId="3CAC8742" w:rsidR="00470D9E" w:rsidRPr="00470D9E" w:rsidRDefault="00470D9E" w:rsidP="008E39B8">
      <w:pPr>
        <w:numPr>
          <w:ilvl w:val="0"/>
          <w:numId w:val="19"/>
        </w:numPr>
        <w:spacing w:line="240" w:lineRule="auto"/>
        <w:contextualSpacing/>
      </w:pPr>
      <w:r w:rsidRPr="00E77232">
        <w:rPr>
          <w:i/>
        </w:rPr>
        <w:t>Business Impact Analysis (BIA),</w:t>
      </w:r>
      <w:r w:rsidRPr="00470D9E">
        <w:t xml:space="preserve"> denoting any effects of the requested change on the </w:t>
      </w:r>
      <w:r w:rsidR="004C3BEB">
        <w:t xml:space="preserve">EDE Partner’s or </w:t>
      </w:r>
      <w:r w:rsidRPr="00470D9E">
        <w:t>EDE Partner applicant’s mission, business processes, and system supports.</w:t>
      </w:r>
    </w:p>
    <w:p w14:paraId="2EE555AC" w14:textId="77777777" w:rsidR="00470D9E" w:rsidRPr="00470D9E" w:rsidRDefault="00470D9E" w:rsidP="008E39B8">
      <w:pPr>
        <w:numPr>
          <w:ilvl w:val="0"/>
          <w:numId w:val="19"/>
        </w:numPr>
        <w:spacing w:line="240" w:lineRule="auto"/>
      </w:pPr>
      <w:r w:rsidRPr="00E77232">
        <w:rPr>
          <w:i/>
        </w:rPr>
        <w:t>Security Impact Analysis (SIA),</w:t>
      </w:r>
      <w:r w:rsidRPr="00470D9E">
        <w:t xml:space="preserve"> denoting any effects of the requested change on the security posture of the system.</w:t>
      </w:r>
    </w:p>
    <w:p w14:paraId="55618BD3" w14:textId="0E3049FE" w:rsidR="00470D9E" w:rsidRPr="00470D9E" w:rsidRDefault="00470D9E" w:rsidP="00A53E91">
      <w:pPr>
        <w:spacing w:line="240" w:lineRule="auto"/>
      </w:pPr>
      <w:bookmarkStart w:id="66" w:name="_Phase_Change_Requests"/>
      <w:bookmarkEnd w:id="66"/>
      <w:r w:rsidRPr="00470D9E">
        <w:t>Requested UI and QHP consumer application changes will be approved as long as they:</w:t>
      </w:r>
    </w:p>
    <w:p w14:paraId="1A3E0AAD" w14:textId="77777777" w:rsidR="00470D9E" w:rsidRPr="00470D9E" w:rsidRDefault="00470D9E" w:rsidP="008E39B8">
      <w:pPr>
        <w:numPr>
          <w:ilvl w:val="0"/>
          <w:numId w:val="18"/>
        </w:numPr>
        <w:spacing w:line="240" w:lineRule="auto"/>
        <w:contextualSpacing/>
      </w:pPr>
      <w:r w:rsidRPr="00470D9E">
        <w:t>Do not complicate the enrollment process for consumers.</w:t>
      </w:r>
    </w:p>
    <w:p w14:paraId="592C4D56" w14:textId="77777777" w:rsidR="00470D9E" w:rsidRPr="00470D9E" w:rsidRDefault="00470D9E" w:rsidP="008E39B8">
      <w:pPr>
        <w:numPr>
          <w:ilvl w:val="0"/>
          <w:numId w:val="18"/>
        </w:numPr>
        <w:spacing w:line="240" w:lineRule="auto"/>
        <w:contextualSpacing/>
      </w:pPr>
      <w:r w:rsidRPr="00470D9E">
        <w:t>Do not materially impact eligibility results.</w:t>
      </w:r>
    </w:p>
    <w:p w14:paraId="139FC8D1" w14:textId="77777777" w:rsidR="00470D9E" w:rsidRPr="00470D9E" w:rsidRDefault="00470D9E" w:rsidP="008E39B8">
      <w:pPr>
        <w:numPr>
          <w:ilvl w:val="0"/>
          <w:numId w:val="18"/>
        </w:numPr>
        <w:spacing w:line="240" w:lineRule="auto"/>
        <w:contextualSpacing/>
      </w:pPr>
      <w:r w:rsidRPr="00470D9E">
        <w:t xml:space="preserve">Follow the </w:t>
      </w:r>
      <w:r w:rsidRPr="00470D9E">
        <w:rPr>
          <w:i/>
        </w:rPr>
        <w:t xml:space="preserve">Georgia Access </w:t>
      </w:r>
      <w:r w:rsidRPr="00470D9E">
        <w:rPr>
          <w:i/>
          <w:iCs/>
        </w:rPr>
        <w:t>EDE</w:t>
      </w:r>
      <w:r w:rsidRPr="00470D9E">
        <w:rPr>
          <w:i/>
        </w:rPr>
        <w:t xml:space="preserve"> Partner Marketing Guidelines </w:t>
      </w:r>
      <w:r w:rsidRPr="00470D9E" w:rsidDel="00055515">
        <w:t xml:space="preserve">for </w:t>
      </w:r>
      <w:r w:rsidRPr="00470D9E">
        <w:rPr>
          <w:iCs/>
        </w:rPr>
        <w:t>the applicable plan year.</w:t>
      </w:r>
    </w:p>
    <w:p w14:paraId="4EA2F78D" w14:textId="15BD35B5" w:rsidR="00930021" w:rsidRPr="00D22CF7" w:rsidRDefault="00470D9E" w:rsidP="008E39B8">
      <w:pPr>
        <w:numPr>
          <w:ilvl w:val="0"/>
          <w:numId w:val="18"/>
        </w:numPr>
        <w:spacing w:line="240" w:lineRule="auto"/>
        <w:contextualSpacing/>
      </w:pPr>
      <w:r>
        <w:t>Can be accommodat</w:t>
      </w:r>
      <w:r w:rsidR="004C3BEB">
        <w:t>ed</w:t>
      </w:r>
      <w:r>
        <w:t xml:space="preserve"> within the testing timeline with </w:t>
      </w:r>
      <w:r w:rsidR="007257B4">
        <w:t>Georgia Access</w:t>
      </w:r>
      <w:r>
        <w:t xml:space="preserve"> for go-live.</w:t>
      </w:r>
    </w:p>
    <w:p w14:paraId="404DABD6" w14:textId="7CC85A45" w:rsidR="003E1288" w:rsidRDefault="003E1288" w:rsidP="00A53E91">
      <w:pPr>
        <w:pStyle w:val="Heading5"/>
        <w:spacing w:line="240" w:lineRule="auto"/>
      </w:pPr>
      <w:bookmarkStart w:id="67" w:name="_Optional_Change_Request"/>
      <w:bookmarkEnd w:id="67"/>
      <w:r>
        <w:t>Optional Change Request Reviews</w:t>
      </w:r>
    </w:p>
    <w:p w14:paraId="264A8472" w14:textId="490E5BC7" w:rsidR="009466F7" w:rsidRDefault="00DB2903" w:rsidP="00A53E91">
      <w:pPr>
        <w:spacing w:line="240" w:lineRule="auto"/>
      </w:pPr>
      <w:r>
        <w:t xml:space="preserve">The </w:t>
      </w:r>
      <w:r w:rsidR="009466F7">
        <w:t>CRC</w:t>
      </w:r>
      <w:r>
        <w:t xml:space="preserve"> will</w:t>
      </w:r>
      <w:r w:rsidR="009466F7">
        <w:t xml:space="preserve"> determine whether to approve or deny the </w:t>
      </w:r>
      <w:proofErr w:type="gramStart"/>
      <w:r w:rsidR="009466F7">
        <w:t>change request</w:t>
      </w:r>
      <w:proofErr w:type="gramEnd"/>
      <w:r w:rsidR="009466F7">
        <w:t xml:space="preserve">. </w:t>
      </w:r>
      <w:r>
        <w:t xml:space="preserve">Georgia Access </w:t>
      </w:r>
      <w:r w:rsidR="009466F7">
        <w:t xml:space="preserve">notifies the EDE Partner applicant of the CRC’s decision within </w:t>
      </w:r>
      <w:r w:rsidR="009466F7" w:rsidRPr="00D11EA3">
        <w:t>two</w:t>
      </w:r>
      <w:r w:rsidR="00CE182D">
        <w:t xml:space="preserve"> </w:t>
      </w:r>
      <w:r w:rsidR="009466F7" w:rsidRPr="00E921B5">
        <w:t>business days</w:t>
      </w:r>
      <w:r w:rsidR="00D40FEC">
        <w:t xml:space="preserve"> of the decision being made</w:t>
      </w:r>
      <w:r w:rsidR="009466F7" w:rsidRPr="00CE182D">
        <w:t>.</w:t>
      </w:r>
    </w:p>
    <w:p w14:paraId="49F30C33" w14:textId="687E9616" w:rsidR="000A58C9" w:rsidRPr="000A58C9" w:rsidRDefault="009466F7" w:rsidP="00A53E91">
      <w:pPr>
        <w:spacing w:line="240" w:lineRule="auto"/>
      </w:pPr>
      <w:r>
        <w:t xml:space="preserve">Refer to </w:t>
      </w:r>
      <w:hyperlink w:anchor="_Change_Review_Committee" w:history="1">
        <w:r w:rsidR="00B61248">
          <w:rPr>
            <w:rStyle w:val="Hyperlink"/>
            <w:i/>
            <w:iCs/>
          </w:rPr>
          <w:t>Section 2.3.1.4 Change Review Committee (CRC)</w:t>
        </w:r>
      </w:hyperlink>
      <w:r>
        <w:t xml:space="preserve"> for more details on the optional change request review and approval process.</w:t>
      </w:r>
    </w:p>
    <w:p w14:paraId="734DAD09" w14:textId="19F9829C" w:rsidR="003E1288" w:rsidRDefault="003E1288" w:rsidP="00A53E91">
      <w:pPr>
        <w:pStyle w:val="Heading4"/>
        <w:spacing w:line="240" w:lineRule="auto"/>
      </w:pPr>
      <w:bookmarkStart w:id="68" w:name="_Phase_Change_Requests_1"/>
      <w:bookmarkEnd w:id="68"/>
      <w:r>
        <w:t>Phase Change Requests</w:t>
      </w:r>
    </w:p>
    <w:p w14:paraId="3381B124" w14:textId="7A120A0C" w:rsidR="007D74BE" w:rsidRPr="007D74BE" w:rsidRDefault="0868B38F" w:rsidP="00A53E91">
      <w:pPr>
        <w:spacing w:line="240" w:lineRule="auto"/>
      </w:pPr>
      <w:r>
        <w:t xml:space="preserve"> Phase 2 EDE Partners may request to change their Georgia Access EDE phase at any time during the plan year after OE 202</w:t>
      </w:r>
      <w:r w:rsidR="78BBC86A">
        <w:t>5</w:t>
      </w:r>
      <w:r>
        <w:t xml:space="preserve">. To initiate a phase change </w:t>
      </w:r>
      <w:proofErr w:type="gramStart"/>
      <w:r>
        <w:t>request,  Phase</w:t>
      </w:r>
      <w:proofErr w:type="gramEnd"/>
      <w:r>
        <w:t xml:space="preserve"> 2 EDE Partners must declare intent to change phases by updating their </w:t>
      </w:r>
      <w:r w:rsidR="34934346">
        <w:t xml:space="preserve">EDE Partner </w:t>
      </w:r>
      <w:r>
        <w:t xml:space="preserve">application and notifying </w:t>
      </w:r>
      <w:r w:rsidR="436481E1">
        <w:t>Georgia Access</w:t>
      </w:r>
      <w:r>
        <w:t xml:space="preserve">. EDE Partners </w:t>
      </w:r>
      <w:r>
        <w:lastRenderedPageBreak/>
        <w:t xml:space="preserve">must provide test and use cases for selected phase functionality and conduct integration testing with </w:t>
      </w:r>
      <w:r w:rsidR="0991299B">
        <w:t>Georgia Access</w:t>
      </w:r>
      <w:r>
        <w:t>.</w:t>
      </w:r>
    </w:p>
    <w:p w14:paraId="117582DB" w14:textId="24EB91CA" w:rsidR="007D74BE" w:rsidRPr="007D74BE" w:rsidRDefault="007D74BE" w:rsidP="00A53E91">
      <w:pPr>
        <w:spacing w:line="240" w:lineRule="auto"/>
      </w:pPr>
      <w:r>
        <w:t xml:space="preserve">If an EDE Partner requesting a phase change meets all requirements of the selected phase and completes and passes an ORR, </w:t>
      </w:r>
      <w:r w:rsidR="002168C1">
        <w:t xml:space="preserve">Georgia Access </w:t>
      </w:r>
      <w:r>
        <w:t>certif</w:t>
      </w:r>
      <w:r w:rsidR="007F2B1C">
        <w:t>ies</w:t>
      </w:r>
      <w:r>
        <w:t xml:space="preserve"> the EDE Partner at the selected phase for the upcoming </w:t>
      </w:r>
      <w:r w:rsidR="000F6A68">
        <w:t>OE Period</w:t>
      </w:r>
      <w:r>
        <w:t xml:space="preserve">. </w:t>
      </w:r>
      <w:r w:rsidR="2B3E96E6">
        <w:t>All EDE’s will need t</w:t>
      </w:r>
      <w:r w:rsidR="0049651C">
        <w:t>o</w:t>
      </w:r>
      <w:r w:rsidR="2B3E96E6">
        <w:t xml:space="preserve"> be certified at Phase 3 for Georgia Access PY2026.</w:t>
      </w:r>
    </w:p>
    <w:p w14:paraId="6429B7B1" w14:textId="02351DBE" w:rsidR="007D74BE" w:rsidRPr="007D74BE" w:rsidRDefault="007D74BE" w:rsidP="00A53E91">
      <w:pPr>
        <w:spacing w:line="240" w:lineRule="auto"/>
        <w:rPr>
          <w:iCs/>
        </w:rPr>
      </w:pPr>
      <w:r w:rsidRPr="007D74BE">
        <w:rPr>
          <w:iCs/>
        </w:rPr>
        <w:t xml:space="preserve">Refer to </w:t>
      </w:r>
      <w:hyperlink w:anchor="_Georgia_Access_Phase" w:history="1">
        <w:r w:rsidR="006A2EE0">
          <w:rPr>
            <w:i/>
            <w:iCs/>
            <w:color w:val="0563C1" w:themeColor="hyperlink"/>
            <w:u w:val="single"/>
          </w:rPr>
          <w:t>Section 2.2.2.3 Georgia Access Phase Certification</w:t>
        </w:r>
      </w:hyperlink>
      <w:r w:rsidRPr="007D74BE">
        <w:rPr>
          <w:iCs/>
        </w:rPr>
        <w:t xml:space="preserve"> for more details about EDE certification phases for Georgia Access and </w:t>
      </w:r>
      <w:hyperlink w:anchor="_Georgia_Access_EDE" w:history="1">
        <w:r w:rsidR="00A348D1">
          <w:rPr>
            <w:i/>
            <w:iCs/>
            <w:color w:val="0563C1" w:themeColor="hyperlink"/>
            <w:u w:val="single"/>
          </w:rPr>
          <w:t>Section 2.1.1.2 Georgia Access EDE Partner Certification Phases</w:t>
        </w:r>
      </w:hyperlink>
      <w:r w:rsidRPr="007D74BE">
        <w:rPr>
          <w:b/>
          <w:bCs/>
          <w:iCs/>
        </w:rPr>
        <w:t xml:space="preserve"> </w:t>
      </w:r>
      <w:r w:rsidRPr="007D74BE">
        <w:rPr>
          <w:iCs/>
        </w:rPr>
        <w:t>for a list of consumer enrollment scenarios supported at each EDE phase.</w:t>
      </w:r>
    </w:p>
    <w:p w14:paraId="2F78DA9E" w14:textId="060B3972" w:rsidR="007D74BE" w:rsidRPr="007D74BE" w:rsidRDefault="007D74BE" w:rsidP="00A53E91">
      <w:pPr>
        <w:pStyle w:val="Heading4"/>
        <w:spacing w:line="240" w:lineRule="auto"/>
      </w:pPr>
      <w:bookmarkStart w:id="69" w:name="_Change_Review_Committee"/>
      <w:bookmarkEnd w:id="69"/>
      <w:r w:rsidRPr="007D74BE">
        <w:t>Change Review Committee</w:t>
      </w:r>
      <w:r w:rsidR="006D1C70">
        <w:t xml:space="preserve"> (CRC)</w:t>
      </w:r>
    </w:p>
    <w:p w14:paraId="5ABB3108" w14:textId="3CF1782D" w:rsidR="006D5689" w:rsidRDefault="007D74BE" w:rsidP="00A53E91">
      <w:pPr>
        <w:spacing w:line="240" w:lineRule="auto"/>
      </w:pPr>
      <w:r w:rsidRPr="007D74BE">
        <w:t>The CRC convenes to approve or deny all change requests for implementation for the upcoming OE</w:t>
      </w:r>
      <w:r w:rsidR="008A6710">
        <w:t xml:space="preserve"> Period</w:t>
      </w:r>
      <w:r w:rsidR="007370CB">
        <w:t>.</w:t>
      </w:r>
      <w:r w:rsidRPr="007D74BE">
        <w:t xml:space="preserve"> </w:t>
      </w:r>
      <w:r w:rsidR="00FD0CEC">
        <w:t xml:space="preserve">EDE Partner applicants submit </w:t>
      </w:r>
      <w:r w:rsidR="001144F5">
        <w:t xml:space="preserve">the </w:t>
      </w:r>
      <w:r w:rsidR="001144F5" w:rsidRPr="00EC36A8">
        <w:rPr>
          <w:i/>
        </w:rPr>
        <w:t>Change Request Form</w:t>
      </w:r>
      <w:r w:rsidR="001144F5">
        <w:t xml:space="preserve"> that is in the </w:t>
      </w:r>
      <w:r w:rsidR="001144F5" w:rsidRPr="00EC36A8">
        <w:rPr>
          <w:i/>
        </w:rPr>
        <w:t>Appendix</w:t>
      </w:r>
      <w:r w:rsidR="001144F5">
        <w:t xml:space="preserve"> of the </w:t>
      </w:r>
      <w:r w:rsidR="001144F5" w:rsidRPr="00EC36A8">
        <w:rPr>
          <w:i/>
        </w:rPr>
        <w:t>Georgia Access EDE Partner Application</w:t>
      </w:r>
      <w:r w:rsidR="001144F5">
        <w:t xml:space="preserve">. </w:t>
      </w:r>
      <w:r w:rsidR="000A58C9">
        <w:t>If needed, Georgia Access request</w:t>
      </w:r>
      <w:r w:rsidR="007451B5">
        <w:t>s</w:t>
      </w:r>
      <w:r w:rsidR="000A58C9">
        <w:t xml:space="preserve"> additional information</w:t>
      </w:r>
      <w:r w:rsidR="007451B5">
        <w:t xml:space="preserve"> from the EDE Partner or EDE Partner applicant</w:t>
      </w:r>
      <w:r w:rsidR="000A58C9">
        <w:t xml:space="preserve"> on behalf of the CRC.</w:t>
      </w:r>
      <w:r w:rsidR="003C1BB5">
        <w:t xml:space="preserve"> </w:t>
      </w:r>
    </w:p>
    <w:p w14:paraId="665371E2" w14:textId="496261BD" w:rsidR="007D74BE" w:rsidRPr="007D74BE" w:rsidRDefault="007451B5" w:rsidP="00A53E91">
      <w:pPr>
        <w:spacing w:line="240" w:lineRule="auto"/>
      </w:pPr>
      <w:r>
        <w:t>T</w:t>
      </w:r>
      <w:r w:rsidR="007D74BE" w:rsidRPr="007D74BE">
        <w:t>he CRC assesses change requests according to the following approval parameters and votes on whether to approve, conditionally approve, or deny the change request:</w:t>
      </w:r>
    </w:p>
    <w:p w14:paraId="2A44CF82" w14:textId="77777777" w:rsidR="007D74BE" w:rsidRPr="007D74BE" w:rsidRDefault="007D74BE" w:rsidP="008E39B8">
      <w:pPr>
        <w:numPr>
          <w:ilvl w:val="0"/>
          <w:numId w:val="17"/>
        </w:numPr>
        <w:spacing w:line="240" w:lineRule="auto"/>
        <w:contextualSpacing/>
      </w:pPr>
      <w:r w:rsidRPr="007D74BE">
        <w:t>Has the EDE Partner provided a clear explanation of what the change is for Georgia Access and how it differs from its FFE EDE application?</w:t>
      </w:r>
    </w:p>
    <w:p w14:paraId="2CD970FD" w14:textId="77777777" w:rsidR="007D74BE" w:rsidRPr="007D74BE" w:rsidRDefault="007D74BE" w:rsidP="008E39B8">
      <w:pPr>
        <w:numPr>
          <w:ilvl w:val="0"/>
          <w:numId w:val="17"/>
        </w:numPr>
        <w:spacing w:line="240" w:lineRule="auto"/>
        <w:contextualSpacing/>
      </w:pPr>
      <w:r w:rsidRPr="007D74BE">
        <w:t>Has the EDE Partner provided clear justification for how the optional change enhances the consumer experience?</w:t>
      </w:r>
    </w:p>
    <w:p w14:paraId="2CD06DAE" w14:textId="77777777" w:rsidR="007D74BE" w:rsidRPr="007D74BE" w:rsidRDefault="007D74BE" w:rsidP="008E39B8">
      <w:pPr>
        <w:numPr>
          <w:ilvl w:val="0"/>
          <w:numId w:val="17"/>
        </w:numPr>
        <w:spacing w:line="240" w:lineRule="auto"/>
        <w:contextualSpacing/>
      </w:pPr>
      <w:r w:rsidRPr="007D74BE">
        <w:t>Is there potential risk that the change creates consumer confusion or negatively impacts eligibility and enrollment information?</w:t>
      </w:r>
    </w:p>
    <w:p w14:paraId="530C88E5" w14:textId="77777777" w:rsidR="007D74BE" w:rsidRPr="007D74BE" w:rsidRDefault="007D74BE" w:rsidP="008E39B8">
      <w:pPr>
        <w:numPr>
          <w:ilvl w:val="0"/>
          <w:numId w:val="17"/>
        </w:numPr>
        <w:spacing w:line="240" w:lineRule="auto"/>
        <w:contextualSpacing/>
      </w:pPr>
      <w:r w:rsidRPr="007D74BE">
        <w:t>Are there impacts to infrastructure, security, or privacy? Are any audits required?</w:t>
      </w:r>
    </w:p>
    <w:p w14:paraId="22ECAD7B" w14:textId="77777777" w:rsidR="007D74BE" w:rsidRPr="007D74BE" w:rsidRDefault="007D74BE" w:rsidP="008E39B8">
      <w:pPr>
        <w:numPr>
          <w:ilvl w:val="0"/>
          <w:numId w:val="17"/>
        </w:numPr>
        <w:spacing w:line="240" w:lineRule="auto"/>
        <w:contextualSpacing/>
      </w:pPr>
      <w:r w:rsidRPr="007D74BE">
        <w:t>Are there other identified risks?</w:t>
      </w:r>
    </w:p>
    <w:p w14:paraId="6CC81DEC" w14:textId="77777777" w:rsidR="007D74BE" w:rsidRPr="007D74BE" w:rsidRDefault="007D74BE" w:rsidP="008E39B8">
      <w:pPr>
        <w:numPr>
          <w:ilvl w:val="0"/>
          <w:numId w:val="17"/>
        </w:numPr>
        <w:spacing w:line="240" w:lineRule="auto"/>
        <w:contextualSpacing/>
      </w:pPr>
      <w:r w:rsidRPr="007D74BE">
        <w:t xml:space="preserve">Does the change require additional testing with the Georgia Access Eligibility System </w:t>
      </w:r>
      <w:r w:rsidRPr="0027324D">
        <w:t>APIs</w:t>
      </w:r>
      <w:r w:rsidRPr="007D74BE">
        <w:t>?</w:t>
      </w:r>
    </w:p>
    <w:p w14:paraId="5430E98F" w14:textId="77777777" w:rsidR="007D74BE" w:rsidRPr="007D74BE" w:rsidRDefault="007D74BE" w:rsidP="008E39B8">
      <w:pPr>
        <w:numPr>
          <w:ilvl w:val="0"/>
          <w:numId w:val="17"/>
        </w:numPr>
        <w:spacing w:line="240" w:lineRule="auto"/>
        <w:contextualSpacing/>
      </w:pPr>
      <w:r w:rsidRPr="007D74BE">
        <w:t>Does the change require additional testing and auditing of the EDE Partner UI/QHP consumer application?</w:t>
      </w:r>
    </w:p>
    <w:p w14:paraId="737CF27B" w14:textId="77777777" w:rsidR="007D74BE" w:rsidRPr="007D74BE" w:rsidRDefault="007D74BE" w:rsidP="008E39B8">
      <w:pPr>
        <w:numPr>
          <w:ilvl w:val="0"/>
          <w:numId w:val="17"/>
        </w:numPr>
        <w:spacing w:line="240" w:lineRule="auto"/>
        <w:contextualSpacing/>
      </w:pPr>
      <w:r w:rsidRPr="007D74BE">
        <w:t>Is the EDE Partner currently in the process of getting approval from CCIIO for a change to their FFE EDE entity application that they also want to incorporate for Georgia Access?</w:t>
      </w:r>
    </w:p>
    <w:p w14:paraId="62A27DA2" w14:textId="3726343B" w:rsidR="004F7035" w:rsidRDefault="007D74BE" w:rsidP="008E39B8">
      <w:pPr>
        <w:numPr>
          <w:ilvl w:val="0"/>
          <w:numId w:val="17"/>
        </w:numPr>
        <w:spacing w:line="240" w:lineRule="auto"/>
        <w:contextualSpacing/>
      </w:pPr>
      <w:r w:rsidRPr="007D74BE">
        <w:t xml:space="preserve">Does the change comply with the </w:t>
      </w:r>
      <w:r w:rsidRPr="007D74BE">
        <w:rPr>
          <w:i/>
          <w:iCs/>
        </w:rPr>
        <w:t xml:space="preserve">Georgia Access EDE Partner Marketing Guidelines </w:t>
      </w:r>
      <w:r w:rsidRPr="007D74BE">
        <w:t>for the applicable plan year?</w:t>
      </w:r>
    </w:p>
    <w:p w14:paraId="0BDDD4E0" w14:textId="2B156BF0" w:rsidR="00D273D7" w:rsidRDefault="00D273D7" w:rsidP="00A53E91">
      <w:pPr>
        <w:pStyle w:val="Heading3"/>
        <w:spacing w:line="240" w:lineRule="auto"/>
      </w:pPr>
      <w:bookmarkStart w:id="70" w:name="_Toc209003045"/>
      <w:r>
        <w:t>EDE Partner Reporting</w:t>
      </w:r>
      <w:bookmarkEnd w:id="70"/>
    </w:p>
    <w:p w14:paraId="432C87B4" w14:textId="78744633" w:rsidR="00503B71" w:rsidRDefault="00503B71" w:rsidP="00A53E91">
      <w:pPr>
        <w:spacing w:line="240" w:lineRule="auto"/>
      </w:pPr>
      <w:r>
        <w:t xml:space="preserve">For </w:t>
      </w:r>
      <w:r w:rsidR="00CE634F">
        <w:t xml:space="preserve">Georgia Access </w:t>
      </w:r>
      <w:r>
        <w:t xml:space="preserve">to monitor OE activity and assess marketing and public outreach needs, EDE Partners must report enrollment and consumer support metrics through the </w:t>
      </w:r>
      <w:r w:rsidRPr="00674B4C">
        <w:rPr>
          <w:i/>
        </w:rPr>
        <w:t>Georgia Access</w:t>
      </w:r>
      <w:r>
        <w:t xml:space="preserve"> </w:t>
      </w:r>
      <w:r w:rsidRPr="00164659">
        <w:rPr>
          <w:i/>
          <w:iCs/>
        </w:rPr>
        <w:t>EDE Partner Reporting Templates</w:t>
      </w:r>
      <w:r>
        <w:t>.</w:t>
      </w:r>
      <w:r w:rsidR="008670B0">
        <w:t xml:space="preserve"> EDE Partner reports are due to Georgia Access on a weekly basis during OE and monthly outside of OE</w:t>
      </w:r>
      <w:r w:rsidR="00892A07">
        <w:t>.</w:t>
      </w:r>
    </w:p>
    <w:p w14:paraId="78CB356D" w14:textId="23B4BB8F" w:rsidR="00503B71" w:rsidRDefault="00503B71" w:rsidP="00A53E91">
      <w:pPr>
        <w:pStyle w:val="Heading4"/>
        <w:spacing w:line="240" w:lineRule="auto"/>
      </w:pPr>
      <w:r>
        <w:t>Required Reports</w:t>
      </w:r>
    </w:p>
    <w:p w14:paraId="335CD5D4" w14:textId="5DDCB7A1" w:rsidR="003C4067" w:rsidRDefault="00FB6792" w:rsidP="00A53E91">
      <w:pPr>
        <w:spacing w:line="240" w:lineRule="auto"/>
      </w:pPr>
      <w:r>
        <w:t xml:space="preserve">The table below outlines the key reporting metrics included in the </w:t>
      </w:r>
      <w:r w:rsidRPr="00674B4C">
        <w:rPr>
          <w:i/>
        </w:rPr>
        <w:t>Georgia Access</w:t>
      </w:r>
      <w:r>
        <w:t xml:space="preserve"> </w:t>
      </w:r>
      <w:r w:rsidRPr="008209BD">
        <w:rPr>
          <w:i/>
        </w:rPr>
        <w:t>EDE Partner Reporting Template</w:t>
      </w:r>
      <w:r>
        <w:rPr>
          <w:i/>
          <w:iCs/>
        </w:rPr>
        <w:t>s</w:t>
      </w:r>
      <w:r>
        <w:t xml:space="preserve"> provided to EDE Partners during ORR each year. Note that Georgia Access may add to or change required reporting metrics from year to year as </w:t>
      </w:r>
      <w:r w:rsidR="00165E97">
        <w:t xml:space="preserve">the Exchange </w:t>
      </w:r>
      <w:r>
        <w:t xml:space="preserve">sees fit. EDE Partner reports are due to Georgia Access on a </w:t>
      </w:r>
      <w:r w:rsidDel="005D1265">
        <w:t>weekly basis</w:t>
      </w:r>
      <w:r>
        <w:t xml:space="preserve"> during OE and monthly outside of OE. Primary entities must use the EDE Partner </w:t>
      </w:r>
      <w:r w:rsidR="00663666">
        <w:t>r</w:t>
      </w:r>
      <w:r>
        <w:t xml:space="preserve">eporting </w:t>
      </w:r>
      <w:r w:rsidR="00663666">
        <w:t>t</w:t>
      </w:r>
      <w:r>
        <w:t xml:space="preserve">emplate to report on website activity. Upstream entities can self-report or delegate the associated technology provider to submit on their behalf. Failure to submit these reports in </w:t>
      </w:r>
      <w:r>
        <w:lastRenderedPageBreak/>
        <w:t xml:space="preserve">a timely manner will </w:t>
      </w:r>
      <w:r w:rsidR="00673F51">
        <w:t>result in</w:t>
      </w:r>
      <w:r>
        <w:t xml:space="preserve"> </w:t>
      </w:r>
      <w:r w:rsidR="00673F51">
        <w:t>a</w:t>
      </w:r>
      <w:r>
        <w:t xml:space="preserve"> non-complian</w:t>
      </w:r>
      <w:r w:rsidR="00673F51">
        <w:t>ce violation</w:t>
      </w:r>
      <w:r>
        <w:t xml:space="preserve"> with outlined requirements</w:t>
      </w:r>
      <w:r w:rsidR="00673F51">
        <w:t xml:space="preserve"> for the EDE Partner</w:t>
      </w:r>
      <w:r>
        <w:t>.</w:t>
      </w:r>
    </w:p>
    <w:tbl>
      <w:tblPr>
        <w:tblStyle w:val="TableGrid"/>
        <w:tblW w:w="0" w:type="auto"/>
        <w:tblLook w:val="0420" w:firstRow="1" w:lastRow="0" w:firstColumn="0" w:lastColumn="0" w:noHBand="0" w:noVBand="1"/>
      </w:tblPr>
      <w:tblGrid>
        <w:gridCol w:w="3865"/>
        <w:gridCol w:w="5485"/>
      </w:tblGrid>
      <w:tr w:rsidR="00FB6792" w14:paraId="3F5513FA" w14:textId="77777777" w:rsidTr="428E3552">
        <w:trPr>
          <w:trHeight w:val="346"/>
          <w:tblHeader/>
        </w:trPr>
        <w:tc>
          <w:tcPr>
            <w:tcW w:w="3865" w:type="dxa"/>
            <w:tcBorders>
              <w:top w:val="single" w:sz="4" w:space="0" w:color="auto"/>
              <w:left w:val="single" w:sz="4" w:space="0" w:color="auto"/>
              <w:bottom w:val="single" w:sz="4" w:space="0" w:color="auto"/>
              <w:right w:val="single" w:sz="4" w:space="0" w:color="auto"/>
            </w:tcBorders>
            <w:shd w:val="clear" w:color="auto" w:fill="096080"/>
            <w:vAlign w:val="center"/>
            <w:hideMark/>
          </w:tcPr>
          <w:p w14:paraId="271977A2" w14:textId="77777777" w:rsidR="00FB6792" w:rsidRDefault="00FB6792" w:rsidP="00A53E91">
            <w:pPr>
              <w:spacing w:before="80" w:after="80" w:line="240" w:lineRule="auto"/>
              <w:rPr>
                <w:rFonts w:cstheme="minorHAnsi"/>
                <w:b/>
                <w:color w:val="FFFFFF" w:themeColor="background1"/>
              </w:rPr>
            </w:pPr>
            <w:r w:rsidRPr="00453A92">
              <w:rPr>
                <w:rFonts w:cstheme="minorHAnsi"/>
                <w:b/>
                <w:color w:val="FFFFFF" w:themeColor="background1"/>
              </w:rPr>
              <w:t>Reporting Category</w:t>
            </w:r>
          </w:p>
        </w:tc>
        <w:tc>
          <w:tcPr>
            <w:tcW w:w="5485" w:type="dxa"/>
            <w:tcBorders>
              <w:top w:val="single" w:sz="4" w:space="0" w:color="auto"/>
              <w:left w:val="single" w:sz="4" w:space="0" w:color="auto"/>
              <w:bottom w:val="single" w:sz="4" w:space="0" w:color="auto"/>
              <w:right w:val="single" w:sz="4" w:space="0" w:color="auto"/>
            </w:tcBorders>
            <w:shd w:val="clear" w:color="auto" w:fill="096080"/>
            <w:vAlign w:val="center"/>
            <w:hideMark/>
          </w:tcPr>
          <w:p w14:paraId="170F419E" w14:textId="77777777" w:rsidR="00FB6792" w:rsidRPr="00453A92" w:rsidRDefault="00FB6792" w:rsidP="00A53E91">
            <w:pPr>
              <w:spacing w:before="80" w:after="80" w:line="240" w:lineRule="auto"/>
              <w:rPr>
                <w:rFonts w:cstheme="minorHAnsi"/>
                <w:b/>
                <w:color w:val="FFFFFF" w:themeColor="background1"/>
              </w:rPr>
            </w:pPr>
            <w:r w:rsidRPr="00453A92">
              <w:rPr>
                <w:rFonts w:cstheme="minorHAnsi"/>
                <w:b/>
                <w:color w:val="FFFFFF" w:themeColor="background1"/>
              </w:rPr>
              <w:t>Description</w:t>
            </w:r>
          </w:p>
        </w:tc>
      </w:tr>
      <w:tr w:rsidR="00FB6792" w14:paraId="05BD9CCC" w14:textId="77777777" w:rsidTr="428E3552">
        <w:tc>
          <w:tcPr>
            <w:tcW w:w="3865" w:type="dxa"/>
            <w:tcBorders>
              <w:top w:val="single" w:sz="4" w:space="0" w:color="auto"/>
              <w:left w:val="single" w:sz="4" w:space="0" w:color="auto"/>
              <w:bottom w:val="single" w:sz="4" w:space="0" w:color="auto"/>
              <w:right w:val="single" w:sz="4" w:space="0" w:color="auto"/>
            </w:tcBorders>
            <w:vAlign w:val="center"/>
            <w:hideMark/>
          </w:tcPr>
          <w:p w14:paraId="3DEC45E5" w14:textId="77777777" w:rsidR="00FB6792" w:rsidRDefault="00FB6792" w:rsidP="00A53E91">
            <w:pPr>
              <w:spacing w:before="80" w:after="80" w:line="240" w:lineRule="auto"/>
              <w:rPr>
                <w:rFonts w:cstheme="minorHAnsi"/>
              </w:rPr>
            </w:pPr>
            <w:r>
              <w:rPr>
                <w:rFonts w:cstheme="minorHAnsi"/>
              </w:rPr>
              <w:t>Website</w:t>
            </w:r>
          </w:p>
        </w:tc>
        <w:tc>
          <w:tcPr>
            <w:tcW w:w="5485" w:type="dxa"/>
            <w:tcBorders>
              <w:top w:val="single" w:sz="4" w:space="0" w:color="auto"/>
              <w:left w:val="single" w:sz="4" w:space="0" w:color="auto"/>
              <w:bottom w:val="single" w:sz="4" w:space="0" w:color="auto"/>
              <w:right w:val="single" w:sz="4" w:space="0" w:color="auto"/>
            </w:tcBorders>
            <w:vAlign w:val="center"/>
            <w:hideMark/>
          </w:tcPr>
          <w:p w14:paraId="6F596EDC" w14:textId="77777777" w:rsidR="001B4349" w:rsidRPr="001B4349" w:rsidRDefault="00FB6792" w:rsidP="008E39B8">
            <w:pPr>
              <w:pStyle w:val="ListParagraph"/>
              <w:numPr>
                <w:ilvl w:val="0"/>
                <w:numId w:val="39"/>
              </w:numPr>
              <w:spacing w:before="80" w:after="80" w:line="240" w:lineRule="auto"/>
              <w:ind w:left="348"/>
              <w:rPr>
                <w:rFonts w:cstheme="minorHAnsi"/>
              </w:rPr>
            </w:pPr>
            <w:r>
              <w:t xml:space="preserve">Number of consumers </w:t>
            </w:r>
            <w:r w:rsidR="007D0F72">
              <w:t xml:space="preserve">who </w:t>
            </w:r>
            <w:r>
              <w:t>visited the EDE Partner website</w:t>
            </w:r>
          </w:p>
          <w:p w14:paraId="3B232107" w14:textId="4E0CBE04" w:rsidR="001B4349" w:rsidRPr="001B4349" w:rsidRDefault="001B4349" w:rsidP="008E39B8">
            <w:pPr>
              <w:pStyle w:val="ListParagraph"/>
              <w:numPr>
                <w:ilvl w:val="0"/>
                <w:numId w:val="39"/>
              </w:numPr>
              <w:spacing w:before="80" w:after="80" w:line="240" w:lineRule="auto"/>
              <w:ind w:left="348"/>
              <w:rPr>
                <w:rFonts w:cstheme="minorHAnsi"/>
              </w:rPr>
            </w:pPr>
            <w:r>
              <w:t>N</w:t>
            </w:r>
            <w:r w:rsidR="00FB6792">
              <w:t xml:space="preserve">umber of consumers </w:t>
            </w:r>
            <w:r w:rsidR="007D0F72">
              <w:t xml:space="preserve">who </w:t>
            </w:r>
            <w:r w:rsidR="00FB6792">
              <w:t>started an application</w:t>
            </w:r>
          </w:p>
          <w:p w14:paraId="2C42477F" w14:textId="0602E113" w:rsidR="00FB6792" w:rsidRPr="001B4349" w:rsidRDefault="001B4349" w:rsidP="008E39B8">
            <w:pPr>
              <w:pStyle w:val="ListParagraph"/>
              <w:numPr>
                <w:ilvl w:val="0"/>
                <w:numId w:val="39"/>
              </w:numPr>
              <w:spacing w:before="80" w:after="80" w:line="240" w:lineRule="auto"/>
              <w:ind w:left="348"/>
              <w:rPr>
                <w:rFonts w:cstheme="minorHAnsi"/>
              </w:rPr>
            </w:pPr>
            <w:r>
              <w:t>P</w:t>
            </w:r>
            <w:r w:rsidR="00FB6792">
              <w:t xml:space="preserve">ercent </w:t>
            </w:r>
            <w:proofErr w:type="gramStart"/>
            <w:r w:rsidR="00FB6792">
              <w:t>uptime</w:t>
            </w:r>
            <w:proofErr w:type="gramEnd"/>
            <w:r w:rsidR="00FB6792">
              <w:t xml:space="preserve"> for website availability </w:t>
            </w:r>
          </w:p>
        </w:tc>
      </w:tr>
      <w:tr w:rsidR="00FB6792" w14:paraId="23AF40B0" w14:textId="77777777" w:rsidTr="428E3552">
        <w:tc>
          <w:tcPr>
            <w:tcW w:w="3865" w:type="dxa"/>
            <w:tcBorders>
              <w:top w:val="single" w:sz="4" w:space="0" w:color="auto"/>
              <w:left w:val="single" w:sz="4" w:space="0" w:color="auto"/>
              <w:bottom w:val="single" w:sz="4" w:space="0" w:color="auto"/>
              <w:right w:val="single" w:sz="4" w:space="0" w:color="auto"/>
            </w:tcBorders>
            <w:vAlign w:val="center"/>
            <w:hideMark/>
          </w:tcPr>
          <w:p w14:paraId="5634E06D" w14:textId="77777777" w:rsidR="00FB6792" w:rsidRDefault="00FB6792" w:rsidP="00A53E91">
            <w:pPr>
              <w:spacing w:before="80" w:after="80" w:line="240" w:lineRule="auto"/>
              <w:rPr>
                <w:rFonts w:cstheme="minorHAnsi"/>
              </w:rPr>
            </w:pPr>
            <w:r>
              <w:t>Consumer Support Metrics</w:t>
            </w:r>
          </w:p>
        </w:tc>
        <w:tc>
          <w:tcPr>
            <w:tcW w:w="5485" w:type="dxa"/>
            <w:tcBorders>
              <w:top w:val="single" w:sz="4" w:space="0" w:color="auto"/>
              <w:left w:val="single" w:sz="4" w:space="0" w:color="auto"/>
              <w:bottom w:val="single" w:sz="4" w:space="0" w:color="auto"/>
              <w:right w:val="single" w:sz="4" w:space="0" w:color="auto"/>
            </w:tcBorders>
            <w:vAlign w:val="center"/>
            <w:hideMark/>
          </w:tcPr>
          <w:p w14:paraId="3E1EF2DE" w14:textId="77777777" w:rsidR="001B4349" w:rsidRDefault="059FF05F" w:rsidP="008E39B8">
            <w:pPr>
              <w:pStyle w:val="ListParagraph"/>
              <w:numPr>
                <w:ilvl w:val="0"/>
                <w:numId w:val="40"/>
              </w:numPr>
              <w:spacing w:before="80" w:after="80" w:line="240" w:lineRule="auto"/>
              <w:ind w:left="348"/>
            </w:pPr>
            <w:r>
              <w:t>Number of consumer inquiries received</w:t>
            </w:r>
          </w:p>
          <w:p w14:paraId="7CA0175A" w14:textId="5561F5E8" w:rsidR="001B4349" w:rsidRDefault="001B4349" w:rsidP="008E39B8">
            <w:pPr>
              <w:pStyle w:val="ListParagraph"/>
              <w:numPr>
                <w:ilvl w:val="0"/>
                <w:numId w:val="40"/>
              </w:numPr>
              <w:spacing w:before="80" w:after="80" w:line="240" w:lineRule="auto"/>
              <w:ind w:left="348"/>
            </w:pPr>
            <w:r>
              <w:t>N</w:t>
            </w:r>
            <w:r w:rsidR="059FF05F">
              <w:t>umber of consumer inquiries disposed and pending</w:t>
            </w:r>
          </w:p>
          <w:p w14:paraId="5D178B06" w14:textId="69D977FD" w:rsidR="001B4349" w:rsidRDefault="001B4349" w:rsidP="008E39B8">
            <w:pPr>
              <w:pStyle w:val="ListParagraph"/>
              <w:numPr>
                <w:ilvl w:val="0"/>
                <w:numId w:val="40"/>
              </w:numPr>
              <w:spacing w:before="80" w:after="80" w:line="240" w:lineRule="auto"/>
              <w:ind w:left="348"/>
            </w:pPr>
            <w:r>
              <w:t>N</w:t>
            </w:r>
            <w:r w:rsidR="059FF05F">
              <w:t>umber of language/accessibility requests</w:t>
            </w:r>
          </w:p>
          <w:p w14:paraId="2B0F6020" w14:textId="0524DA3B" w:rsidR="001B4349" w:rsidRDefault="001B4349" w:rsidP="008E39B8">
            <w:pPr>
              <w:pStyle w:val="ListParagraph"/>
              <w:numPr>
                <w:ilvl w:val="0"/>
                <w:numId w:val="40"/>
              </w:numPr>
              <w:spacing w:before="80" w:after="80" w:line="240" w:lineRule="auto"/>
              <w:ind w:left="348"/>
            </w:pPr>
            <w:r>
              <w:t>N</w:t>
            </w:r>
            <w:r w:rsidR="059FF05F">
              <w:t>umber of consumer inquiries escalated</w:t>
            </w:r>
          </w:p>
          <w:p w14:paraId="459296C8" w14:textId="6C9B5C1D" w:rsidR="00FB6792" w:rsidRDefault="001B4349" w:rsidP="008E39B8">
            <w:pPr>
              <w:pStyle w:val="ListParagraph"/>
              <w:numPr>
                <w:ilvl w:val="0"/>
                <w:numId w:val="40"/>
              </w:numPr>
              <w:spacing w:before="80" w:after="80" w:line="240" w:lineRule="auto"/>
              <w:ind w:left="348"/>
            </w:pPr>
            <w:r>
              <w:t>C</w:t>
            </w:r>
            <w:r w:rsidR="059FF05F">
              <w:t>onsumer satisfaction</w:t>
            </w:r>
            <w:r>
              <w:t>/experience</w:t>
            </w:r>
          </w:p>
        </w:tc>
      </w:tr>
    </w:tbl>
    <w:p w14:paraId="312D2A69" w14:textId="6AC2A0C7" w:rsidR="00D273D7" w:rsidRDefault="00D273D7" w:rsidP="00A53E91">
      <w:pPr>
        <w:pStyle w:val="Heading3"/>
        <w:spacing w:before="160" w:line="240" w:lineRule="auto"/>
      </w:pPr>
      <w:bookmarkStart w:id="71" w:name="_Toc209003046"/>
      <w:r>
        <w:t>Marketing and Consumer Education</w:t>
      </w:r>
      <w:bookmarkEnd w:id="71"/>
    </w:p>
    <w:p w14:paraId="3AA9B33B" w14:textId="38F80863" w:rsidR="00A84660" w:rsidRPr="00524433" w:rsidRDefault="00A84660" w:rsidP="00A53E91">
      <w:pPr>
        <w:spacing w:line="240" w:lineRule="auto"/>
      </w:pPr>
      <w:r w:rsidRPr="00524433">
        <w:t xml:space="preserve">Certified EDE Partners may conduct marketing and consumer education activities for Georgia Access. EDE Partners must complete ORRs, receive certification, and have all marketing materials reviewed and approved by </w:t>
      </w:r>
      <w:r w:rsidR="006A5E05">
        <w:t xml:space="preserve">Georgia Access </w:t>
      </w:r>
      <w:r w:rsidRPr="00524433">
        <w:t>before receiving permission to market and conduct consumer outreach.</w:t>
      </w:r>
    </w:p>
    <w:p w14:paraId="7C4BD313" w14:textId="7541BAE3" w:rsidR="00F46E35" w:rsidRPr="00F46E35" w:rsidRDefault="00A84660" w:rsidP="00A53E91">
      <w:pPr>
        <w:spacing w:line="240" w:lineRule="auto"/>
      </w:pPr>
      <w:r>
        <w:t xml:space="preserve">Refer to the </w:t>
      </w:r>
      <w:r w:rsidRPr="00E5375C">
        <w:rPr>
          <w:i/>
          <w:iCs/>
        </w:rPr>
        <w:t xml:space="preserve">Georgia Access </w:t>
      </w:r>
      <w:r>
        <w:rPr>
          <w:i/>
          <w:iCs/>
        </w:rPr>
        <w:t xml:space="preserve">EDE Partner </w:t>
      </w:r>
      <w:r w:rsidRPr="00E5375C">
        <w:rPr>
          <w:i/>
          <w:iCs/>
        </w:rPr>
        <w:t>Marketing Guidelines</w:t>
      </w:r>
      <w:r>
        <w:rPr>
          <w:i/>
        </w:rPr>
        <w:t xml:space="preserve"> for </w:t>
      </w:r>
      <w:r>
        <w:rPr>
          <w:i/>
          <w:iCs/>
        </w:rPr>
        <w:t>OE 202</w:t>
      </w:r>
      <w:r w:rsidR="000A19A8">
        <w:t>5</w:t>
      </w:r>
      <w:r w:rsidR="00A702A7">
        <w:t xml:space="preserve"> </w:t>
      </w:r>
      <w:r w:rsidRPr="00A250FB">
        <w:t>or</w:t>
      </w:r>
      <w:r>
        <w:t xml:space="preserve"> more details on EDE Partner marketing guidelines.</w:t>
      </w:r>
    </w:p>
    <w:p w14:paraId="35965D28" w14:textId="3626D52D" w:rsidR="00D273D7" w:rsidRDefault="00D273D7" w:rsidP="00A53E91">
      <w:pPr>
        <w:pStyle w:val="Heading3"/>
        <w:spacing w:line="240" w:lineRule="auto"/>
      </w:pPr>
      <w:bookmarkStart w:id="72" w:name="_Toc209003047"/>
      <w:r>
        <w:t>EDE Partner-Initiated Withdrawal of Certification</w:t>
      </w:r>
      <w:bookmarkEnd w:id="72"/>
    </w:p>
    <w:p w14:paraId="50B5D9DA" w14:textId="1650FD76" w:rsidR="006A5E05" w:rsidRPr="006A5E05" w:rsidRDefault="006A5E05" w:rsidP="00A53E91">
      <w:pPr>
        <w:spacing w:line="240" w:lineRule="auto"/>
      </w:pPr>
      <w:r w:rsidRPr="006A5E05">
        <w:t xml:space="preserve">As part of the certification process, an EDE Partner must agree to participate in Georgia Access for the entirety of the plan year per the signed EDE Partner Certification Agreement with </w:t>
      </w:r>
      <w:r w:rsidR="00E76A0B">
        <w:t>Georgia Access</w:t>
      </w:r>
      <w:r w:rsidRPr="006A5E05">
        <w:t xml:space="preserve">. There are circumstances, however, in which an EDE Partner </w:t>
      </w:r>
      <w:proofErr w:type="gramStart"/>
      <w:r w:rsidRPr="006A5E05">
        <w:t>is not able to</w:t>
      </w:r>
      <w:proofErr w:type="gramEnd"/>
      <w:r w:rsidRPr="006A5E05">
        <w:t xml:space="preserve"> continue to participate in Georgia Access and must request a certification withdrawal. Allowable reasons include:</w:t>
      </w:r>
    </w:p>
    <w:p w14:paraId="6B73504B" w14:textId="77777777" w:rsidR="006A5E05" w:rsidRPr="006A5E05" w:rsidRDefault="006A5E05" w:rsidP="008E39B8">
      <w:pPr>
        <w:numPr>
          <w:ilvl w:val="0"/>
          <w:numId w:val="20"/>
        </w:numPr>
        <w:spacing w:line="240" w:lineRule="auto"/>
        <w:ind w:left="720"/>
        <w:contextualSpacing/>
      </w:pPr>
      <w:r w:rsidRPr="006A5E05">
        <w:t>Bankruptcy</w:t>
      </w:r>
    </w:p>
    <w:p w14:paraId="41DC2DC1" w14:textId="77777777" w:rsidR="006A5E05" w:rsidRPr="006A5E05" w:rsidRDefault="006A5E05" w:rsidP="008E39B8">
      <w:pPr>
        <w:numPr>
          <w:ilvl w:val="0"/>
          <w:numId w:val="20"/>
        </w:numPr>
        <w:spacing w:line="240" w:lineRule="auto"/>
        <w:ind w:left="720"/>
        <w:contextualSpacing/>
      </w:pPr>
      <w:r w:rsidRPr="006A5E05">
        <w:t>Merger or acquisition of a company</w:t>
      </w:r>
    </w:p>
    <w:p w14:paraId="36D41D28" w14:textId="77777777" w:rsidR="006A5E05" w:rsidRPr="006A5E05" w:rsidRDefault="006A5E05" w:rsidP="008E39B8">
      <w:pPr>
        <w:numPr>
          <w:ilvl w:val="0"/>
          <w:numId w:val="20"/>
        </w:numPr>
        <w:spacing w:line="240" w:lineRule="auto"/>
        <w:ind w:left="720"/>
      </w:pPr>
      <w:r w:rsidRPr="006A5E05">
        <w:t>Security breaches or risks</w:t>
      </w:r>
    </w:p>
    <w:p w14:paraId="355D8DEB" w14:textId="69980638" w:rsidR="00A84660" w:rsidRPr="00A84660" w:rsidRDefault="006A5E05" w:rsidP="00A53E91">
      <w:pPr>
        <w:spacing w:line="240" w:lineRule="auto"/>
      </w:pPr>
      <w:r w:rsidRPr="006A5E05">
        <w:t xml:space="preserve">If a certified EDE Partner can no longer participate in Georgia Access, the EDE Partner must submit a </w:t>
      </w:r>
      <w:r w:rsidRPr="006A5E05">
        <w:rPr>
          <w:i/>
          <w:iCs/>
        </w:rPr>
        <w:t>Withdrawal Notice</w:t>
      </w:r>
      <w:r w:rsidRPr="006A5E05">
        <w:t xml:space="preserve"> to Georgia Access.</w:t>
      </w:r>
    </w:p>
    <w:p w14:paraId="1677D9F0" w14:textId="2E3421E3" w:rsidR="00D117D4" w:rsidRDefault="00D117D4" w:rsidP="00A53E91">
      <w:pPr>
        <w:pStyle w:val="Heading2"/>
        <w:spacing w:line="240" w:lineRule="auto"/>
      </w:pPr>
      <w:bookmarkStart w:id="73" w:name="_Toc209003048"/>
      <w:r>
        <w:t>Annual Recertification</w:t>
      </w:r>
      <w:bookmarkEnd w:id="73"/>
    </w:p>
    <w:p w14:paraId="373AB0C6" w14:textId="072E3238" w:rsidR="003C1860" w:rsidRDefault="003C1860" w:rsidP="2114FA65">
      <w:pPr>
        <w:spacing w:line="240" w:lineRule="auto"/>
      </w:pPr>
      <w:r>
        <w:t>This section outlines the policies for annual EDE Partner recertification in Georgia Access. Recertification follows a similar process and timeline as initial certification. If the certified EDE Partner does not make changes to the consumer application or operations for the following year, they have an abbreviated recertification process and ORR. If the certified EDE Partner requests to make changes to their application or certification phase, they must undergo additional review and testing.</w:t>
      </w:r>
      <w:r w:rsidR="1B1FF69C">
        <w:t xml:space="preserve"> Georgia Access will assume that all certified EDE Partners are seeking recertification for the following plan year unless a certified EDE Partner formally notifies Georgia Access that it does not plan to seek recertification.</w:t>
      </w:r>
    </w:p>
    <w:p w14:paraId="04AC9E2C" w14:textId="06F3D627" w:rsidR="001F31E7" w:rsidRDefault="001F31E7" w:rsidP="00A53E91">
      <w:pPr>
        <w:pStyle w:val="Heading4"/>
        <w:spacing w:line="240" w:lineRule="auto"/>
      </w:pPr>
      <w:r>
        <w:t>Ongoing Coordination</w:t>
      </w:r>
    </w:p>
    <w:p w14:paraId="21CF9052" w14:textId="468E011C" w:rsidR="006547F4" w:rsidRDefault="006547F4" w:rsidP="00A53E91">
      <w:pPr>
        <w:spacing w:line="240" w:lineRule="auto"/>
      </w:pPr>
      <w:r>
        <w:t xml:space="preserve">Certified EDE Partners must complete all technical activities and milestones and complete and pass </w:t>
      </w:r>
      <w:r w:rsidR="008C72BD">
        <w:t xml:space="preserve">an </w:t>
      </w:r>
      <w:r>
        <w:t xml:space="preserve">ORR prior to receiving recertification. The following activities are required: </w:t>
      </w:r>
    </w:p>
    <w:p w14:paraId="32E05A87" w14:textId="77777777" w:rsidR="006547F4" w:rsidRDefault="006547F4" w:rsidP="008E39B8">
      <w:pPr>
        <w:pStyle w:val="ListParagraph"/>
        <w:numPr>
          <w:ilvl w:val="0"/>
          <w:numId w:val="22"/>
        </w:numPr>
        <w:spacing w:line="240" w:lineRule="auto"/>
      </w:pPr>
      <w:r>
        <w:lastRenderedPageBreak/>
        <w:t>Meet technology specifications and deadlines for integration and testing, only if the State requires new API and technology changes.</w:t>
      </w:r>
    </w:p>
    <w:p w14:paraId="63FDC47B" w14:textId="5F9B4A01" w:rsidR="006547F4" w:rsidRDefault="006547F4" w:rsidP="008E39B8">
      <w:pPr>
        <w:pStyle w:val="ListParagraph"/>
        <w:numPr>
          <w:ilvl w:val="0"/>
          <w:numId w:val="22"/>
        </w:numPr>
        <w:spacing w:line="240" w:lineRule="auto"/>
      </w:pPr>
      <w:r>
        <w:t>Participate in program sessions.</w:t>
      </w:r>
    </w:p>
    <w:p w14:paraId="6508A4FA" w14:textId="310925EA" w:rsidR="00B12CD6" w:rsidRPr="00B12CD6" w:rsidRDefault="006547F4" w:rsidP="008E39B8">
      <w:pPr>
        <w:pStyle w:val="ListParagraph"/>
        <w:numPr>
          <w:ilvl w:val="0"/>
          <w:numId w:val="22"/>
        </w:numPr>
        <w:spacing w:line="240" w:lineRule="auto"/>
      </w:pPr>
      <w:r>
        <w:t xml:space="preserve">Engage in one-on-one meetings with </w:t>
      </w:r>
      <w:r w:rsidR="00CE634F">
        <w:t xml:space="preserve">Georgia Access </w:t>
      </w:r>
      <w:r>
        <w:t>as necessary.</w:t>
      </w:r>
    </w:p>
    <w:p w14:paraId="0223453D" w14:textId="35EC7043" w:rsidR="00FE2631" w:rsidRPr="00B12CD6" w:rsidRDefault="00FE2631" w:rsidP="00A53E91">
      <w:pPr>
        <w:spacing w:line="240" w:lineRule="auto"/>
      </w:pPr>
      <w:r>
        <w:t>Failure to submit required information as directed, participate in technology and/or program sessions, or successfully pass ORRs may result in certification delay or denial.</w:t>
      </w:r>
    </w:p>
    <w:p w14:paraId="182D0A71" w14:textId="6279A62E" w:rsidR="001F31E7" w:rsidRDefault="001F31E7" w:rsidP="00A53E91">
      <w:pPr>
        <w:pStyle w:val="Heading4"/>
        <w:spacing w:line="240" w:lineRule="auto"/>
      </w:pPr>
      <w:r>
        <w:t>Communication</w:t>
      </w:r>
    </w:p>
    <w:p w14:paraId="3AADCC94" w14:textId="486AEF95" w:rsidR="00B12CD6" w:rsidRDefault="00B12CD6" w:rsidP="00A53E91">
      <w:pPr>
        <w:spacing w:line="240" w:lineRule="auto"/>
      </w:pPr>
      <w:r>
        <w:t xml:space="preserve">After </w:t>
      </w:r>
      <w:r w:rsidR="008C4757">
        <w:t xml:space="preserve">Georgia Access </w:t>
      </w:r>
      <w:r>
        <w:t>notif</w:t>
      </w:r>
      <w:r w:rsidR="008C4757">
        <w:t>ies</w:t>
      </w:r>
      <w:r>
        <w:t xml:space="preserve"> the EDE Partner that their EDE Partner recertification application has been accepted, </w:t>
      </w:r>
      <w:r w:rsidR="008C4757">
        <w:t>Georgia Access</w:t>
      </w:r>
      <w:r>
        <w:t xml:space="preserve"> identif</w:t>
      </w:r>
      <w:r w:rsidR="008C4757">
        <w:t>ies</w:t>
      </w:r>
      <w:r>
        <w:t xml:space="preserve"> a designated POC within the SBE for answering any program or technology questions about recertification and coordinating meetings. The POC:</w:t>
      </w:r>
    </w:p>
    <w:p w14:paraId="388E2089" w14:textId="1E9F116D" w:rsidR="00B12CD6" w:rsidRPr="00B95FA5" w:rsidRDefault="00B12CD6" w:rsidP="008E39B8">
      <w:pPr>
        <w:pStyle w:val="ListParagraph"/>
        <w:numPr>
          <w:ilvl w:val="0"/>
          <w:numId w:val="21"/>
        </w:numPr>
        <w:spacing w:line="240" w:lineRule="auto"/>
      </w:pPr>
      <w:r>
        <w:t xml:space="preserve">Sends a confirmation acknowledging receipt of all </w:t>
      </w:r>
      <w:r w:rsidR="00BB59C1">
        <w:t xml:space="preserve">EDE Partner </w:t>
      </w:r>
      <w:r>
        <w:t xml:space="preserve">recertification questions and requests within </w:t>
      </w:r>
      <w:r w:rsidRPr="00B95FA5">
        <w:t>three business days.</w:t>
      </w:r>
    </w:p>
    <w:p w14:paraId="3F82E848" w14:textId="77777777" w:rsidR="00B12CD6" w:rsidRPr="00B95FA5" w:rsidRDefault="00B12CD6" w:rsidP="008E39B8">
      <w:pPr>
        <w:pStyle w:val="ListParagraph"/>
        <w:numPr>
          <w:ilvl w:val="0"/>
          <w:numId w:val="21"/>
        </w:numPr>
        <w:spacing w:line="240" w:lineRule="auto"/>
      </w:pPr>
      <w:r w:rsidRPr="00B95FA5">
        <w:t>Assesses urgency of question or issue raised.</w:t>
      </w:r>
    </w:p>
    <w:p w14:paraId="74EF6525" w14:textId="37D1C086" w:rsidR="00D9674F" w:rsidRPr="00D9674F" w:rsidRDefault="00B12CD6" w:rsidP="008E39B8">
      <w:pPr>
        <w:pStyle w:val="ListParagraph"/>
        <w:numPr>
          <w:ilvl w:val="0"/>
          <w:numId w:val="21"/>
        </w:numPr>
        <w:spacing w:line="240" w:lineRule="auto"/>
      </w:pPr>
      <w:r w:rsidRPr="00B95FA5">
        <w:t>Responds to submitted questions or issues within 12 business days, depending</w:t>
      </w:r>
      <w:r>
        <w:rPr>
          <w:bCs/>
        </w:rPr>
        <w:t xml:space="preserve"> on the urgency of the request.</w:t>
      </w:r>
    </w:p>
    <w:p w14:paraId="5C6AB9AF" w14:textId="549A2071" w:rsidR="001F31E7" w:rsidRDefault="007041ED" w:rsidP="00A53E91">
      <w:pPr>
        <w:pStyle w:val="Heading4"/>
        <w:spacing w:line="240" w:lineRule="auto"/>
      </w:pPr>
      <w:r>
        <w:t xml:space="preserve">Recertification </w:t>
      </w:r>
      <w:r w:rsidR="001F31E7">
        <w:t>Operational Readiness Review</w:t>
      </w:r>
    </w:p>
    <w:p w14:paraId="0BCE882D" w14:textId="1EF25C7B" w:rsidR="00D9674F" w:rsidRPr="00D9674F" w:rsidRDefault="5FF56BFD" w:rsidP="00A53E91">
      <w:pPr>
        <w:spacing w:line="240" w:lineRule="auto"/>
      </w:pPr>
      <w:r>
        <w:t>ORR for recertification is a streamlined version of the ORR process for certification during the initial year. Georgia Access uses ORRs for recertification to verify that the EDE Partner complies with any new requirements and has implemented any Georgia Access-initiated change requests.</w:t>
      </w:r>
      <w:r w:rsidR="00D9674F">
        <w:t xml:space="preserve"> Refer to </w:t>
      </w:r>
      <w:hyperlink w:anchor="_Operational_Readiness_Reviews">
        <w:r w:rsidR="00A348D1" w:rsidRPr="2114FA65">
          <w:rPr>
            <w:rStyle w:val="Hyperlink"/>
            <w:i/>
            <w:iCs/>
          </w:rPr>
          <w:t>Section 2.2.2.5 Operational Readiness Reviews</w:t>
        </w:r>
      </w:hyperlink>
      <w:r w:rsidR="00D9674F">
        <w:t xml:space="preserve"> for more details on the ORR process. If an EDE Partner attests that nothing has changed from the previous year, then ORR requirements may be simplified.</w:t>
      </w:r>
    </w:p>
    <w:p w14:paraId="19C1FA40" w14:textId="5D30C5C6" w:rsidR="001F31E7" w:rsidRDefault="001F31E7" w:rsidP="00A53E91">
      <w:pPr>
        <w:pStyle w:val="Heading4"/>
        <w:spacing w:line="240" w:lineRule="auto"/>
      </w:pPr>
      <w:r>
        <w:t>EDE Partner Certification</w:t>
      </w:r>
    </w:p>
    <w:p w14:paraId="0C50A455" w14:textId="380C4ABB" w:rsidR="00FA488C" w:rsidRDefault="00FA488C" w:rsidP="00A53E91">
      <w:pPr>
        <w:pStyle w:val="Heading5"/>
        <w:spacing w:line="240" w:lineRule="auto"/>
      </w:pPr>
      <w:r>
        <w:t>EDE Partner Certification Agreement</w:t>
      </w:r>
    </w:p>
    <w:p w14:paraId="291001F7" w14:textId="5CC25351" w:rsidR="000769AC" w:rsidRPr="000769AC" w:rsidRDefault="00335183" w:rsidP="00A53E91">
      <w:pPr>
        <w:spacing w:line="240" w:lineRule="auto"/>
      </w:pPr>
      <w:r>
        <w:t>The SBE provide</w:t>
      </w:r>
      <w:r w:rsidR="0021284A">
        <w:t>s</w:t>
      </w:r>
      <w:r>
        <w:t xml:space="preserve"> a Georgia Access EDE Partner Recertification Agreement to EDE Partners who have successfully completed ORR for recertification for the upcoming plan year. The Georgia Access EDE Partner Recertification Agreement feature</w:t>
      </w:r>
      <w:r w:rsidR="0021284A">
        <w:t>s</w:t>
      </w:r>
      <w:r>
        <w:t xml:space="preserve"> similar terms to the initial certification agreement</w:t>
      </w:r>
      <w:r w:rsidR="27498C2B">
        <w:t>.</w:t>
      </w:r>
      <w:r>
        <w:t xml:space="preserve"> </w:t>
      </w:r>
    </w:p>
    <w:p w14:paraId="2EEDD5A5" w14:textId="124415C9" w:rsidR="00FA488C" w:rsidRDefault="00FA488C" w:rsidP="00A53E91">
      <w:pPr>
        <w:pStyle w:val="Heading5"/>
        <w:spacing w:line="240" w:lineRule="auto"/>
      </w:pPr>
      <w:r>
        <w:t>Post EDE Partner Certification</w:t>
      </w:r>
    </w:p>
    <w:p w14:paraId="6E5AC3A7" w14:textId="56BDEB00" w:rsidR="000769AC" w:rsidRDefault="000769AC" w:rsidP="00A53E91">
      <w:pPr>
        <w:spacing w:line="240" w:lineRule="auto"/>
      </w:pPr>
      <w:r>
        <w:t xml:space="preserve">Once EDE Partners sign and execute the </w:t>
      </w:r>
      <w:r w:rsidRPr="007F02EA">
        <w:t xml:space="preserve">Georgia Access </w:t>
      </w:r>
      <w:r w:rsidRPr="008209BD">
        <w:t>EDE Partner Recertification Agreement</w:t>
      </w:r>
      <w:r>
        <w:t xml:space="preserve">, </w:t>
      </w:r>
      <w:r w:rsidR="00AC080E">
        <w:t>Georgia Access</w:t>
      </w:r>
      <w:r>
        <w:t xml:space="preserve"> provide</w:t>
      </w:r>
      <w:r w:rsidR="0021284A">
        <w:t>s</w:t>
      </w:r>
      <w:r>
        <w:t xml:space="preserve"> a certificate indicating EDE Partner certification for the upcoming plan year. </w:t>
      </w:r>
      <w:r w:rsidR="00AC080E">
        <w:t>Georgia Access</w:t>
      </w:r>
      <w:r>
        <w:t xml:space="preserve"> also update</w:t>
      </w:r>
      <w:r w:rsidR="00D42500">
        <w:t>s</w:t>
      </w:r>
      <w:r>
        <w:t xml:space="preserve"> the list of certified EDE Partners on the Georgia Access </w:t>
      </w:r>
      <w:r w:rsidR="002677B2">
        <w:t>website</w:t>
      </w:r>
      <w:r>
        <w:t xml:space="preserve"> in alignment with the go-live date</w:t>
      </w:r>
      <w:r w:rsidR="00D126C8">
        <w:t xml:space="preserve">s, outlined in </w:t>
      </w:r>
      <w:hyperlink w:anchor="_EDE_Partner_Certification" w:history="1">
        <w:r w:rsidR="003F6965">
          <w:rPr>
            <w:rStyle w:val="Hyperlink"/>
            <w:i/>
            <w:iCs/>
          </w:rPr>
          <w:t>Section 2.2.2.6 EDE Partner Certification</w:t>
        </w:r>
      </w:hyperlink>
      <w:r w:rsidR="00A53087">
        <w:t>.</w:t>
      </w:r>
    </w:p>
    <w:p w14:paraId="4C46F411" w14:textId="2BA02EE7" w:rsidR="008F5680" w:rsidRDefault="008F5680" w:rsidP="00A53E91">
      <w:pPr>
        <w:pStyle w:val="Heading3"/>
        <w:spacing w:line="240" w:lineRule="auto"/>
      </w:pPr>
      <w:bookmarkStart w:id="74" w:name="_Toc209003049"/>
      <w:r>
        <w:t>Failure to Meet Recertification Requirements</w:t>
      </w:r>
      <w:bookmarkEnd w:id="74"/>
    </w:p>
    <w:p w14:paraId="1DBE166A" w14:textId="0D9BE594" w:rsidR="00450E93" w:rsidRPr="00450E93" w:rsidRDefault="00450E93" w:rsidP="00A53E91">
      <w:pPr>
        <w:spacing w:line="240" w:lineRule="auto"/>
      </w:pPr>
      <w:r w:rsidRPr="00450E93">
        <w:t xml:space="preserve">If an EDE Partner is at risk of failing to meet requirements or milestones during the recertification process, </w:t>
      </w:r>
      <w:r>
        <w:t>Georgia Access</w:t>
      </w:r>
      <w:r w:rsidRPr="00450E93">
        <w:t>:</w:t>
      </w:r>
    </w:p>
    <w:p w14:paraId="206EB4A8" w14:textId="59CAA407" w:rsidR="00450E93" w:rsidRPr="00450E93" w:rsidRDefault="00450E93" w:rsidP="008E39B8">
      <w:pPr>
        <w:numPr>
          <w:ilvl w:val="0"/>
          <w:numId w:val="34"/>
        </w:numPr>
        <w:spacing w:line="240" w:lineRule="auto"/>
        <w:contextualSpacing/>
      </w:pPr>
      <w:r w:rsidRPr="00450E93">
        <w:t>Provide</w:t>
      </w:r>
      <w:r w:rsidR="00D126C8">
        <w:t>s</w:t>
      </w:r>
      <w:r w:rsidRPr="00450E93">
        <w:t xml:space="preserve"> </w:t>
      </w:r>
      <w:r w:rsidRPr="00450E93">
        <w:rPr>
          <w:i/>
          <w:iCs/>
        </w:rPr>
        <w:t>Notice of Risk for Noncompliance</w:t>
      </w:r>
      <w:r w:rsidRPr="00450E93">
        <w:t xml:space="preserve"> to the EDE Partner.</w:t>
      </w:r>
    </w:p>
    <w:p w14:paraId="521543D5" w14:textId="5AEA2110" w:rsidR="00450E93" w:rsidRPr="00450E93" w:rsidRDefault="00450E93" w:rsidP="008E39B8">
      <w:pPr>
        <w:numPr>
          <w:ilvl w:val="0"/>
          <w:numId w:val="34"/>
        </w:numPr>
        <w:spacing w:line="240" w:lineRule="auto"/>
      </w:pPr>
      <w:r w:rsidRPr="00450E93">
        <w:t>Work</w:t>
      </w:r>
      <w:r w:rsidR="00D126C8">
        <w:t>s</w:t>
      </w:r>
      <w:r w:rsidRPr="00450E93">
        <w:t xml:space="preserve"> with the EDE Partner to develop a mitigation strategy.</w:t>
      </w:r>
    </w:p>
    <w:p w14:paraId="14D82211" w14:textId="4620858A" w:rsidR="00450E93" w:rsidRPr="00450E93" w:rsidRDefault="00450E93" w:rsidP="00A53E91">
      <w:pPr>
        <w:spacing w:line="240" w:lineRule="auto"/>
      </w:pPr>
      <w:r w:rsidRPr="00450E93">
        <w:t xml:space="preserve">If an EDE Partner fails to meet a requirement or milestone, </w:t>
      </w:r>
      <w:r>
        <w:t>Georgia Access</w:t>
      </w:r>
      <w:r w:rsidRPr="00450E93">
        <w:t>:</w:t>
      </w:r>
    </w:p>
    <w:p w14:paraId="429F97EE" w14:textId="4888F52E" w:rsidR="00450E93" w:rsidRPr="00450E93" w:rsidRDefault="00450E93" w:rsidP="008E39B8">
      <w:pPr>
        <w:numPr>
          <w:ilvl w:val="0"/>
          <w:numId w:val="35"/>
        </w:numPr>
        <w:spacing w:line="240" w:lineRule="auto"/>
        <w:contextualSpacing/>
      </w:pPr>
      <w:r w:rsidRPr="00450E93">
        <w:t>Provide</w:t>
      </w:r>
      <w:r w:rsidR="00D126C8">
        <w:t>s</w:t>
      </w:r>
      <w:r w:rsidRPr="00450E93">
        <w:t xml:space="preserve"> written </w:t>
      </w:r>
      <w:r w:rsidRPr="00450E93">
        <w:rPr>
          <w:i/>
          <w:iCs/>
        </w:rPr>
        <w:t xml:space="preserve">Notice of Noncompliance </w:t>
      </w:r>
      <w:r w:rsidRPr="00450E93">
        <w:t>indicating which certification milestones have not been met and the potential impact on certification and go-live.</w:t>
      </w:r>
    </w:p>
    <w:p w14:paraId="7F945050" w14:textId="4DB94140" w:rsidR="00450E93" w:rsidRPr="00450E93" w:rsidRDefault="00450E93" w:rsidP="008E39B8">
      <w:pPr>
        <w:numPr>
          <w:ilvl w:val="0"/>
          <w:numId w:val="35"/>
        </w:numPr>
        <w:spacing w:line="240" w:lineRule="auto"/>
        <w:contextualSpacing/>
      </w:pPr>
      <w:r w:rsidRPr="00450E93">
        <w:t>Request</w:t>
      </w:r>
      <w:r w:rsidR="00D126C8">
        <w:t>s</w:t>
      </w:r>
      <w:r w:rsidRPr="00450E93">
        <w:t xml:space="preserve"> a remediation plan from the EDE Partner.</w:t>
      </w:r>
    </w:p>
    <w:p w14:paraId="77D9F882" w14:textId="2350806D" w:rsidR="00450E93" w:rsidRPr="00450E93" w:rsidRDefault="00450E93" w:rsidP="008E39B8">
      <w:pPr>
        <w:numPr>
          <w:ilvl w:val="0"/>
          <w:numId w:val="35"/>
        </w:numPr>
        <w:spacing w:line="240" w:lineRule="auto"/>
      </w:pPr>
      <w:r w:rsidRPr="00450E93">
        <w:t>Meet</w:t>
      </w:r>
      <w:r w:rsidR="00D126C8">
        <w:t>s</w:t>
      </w:r>
      <w:r w:rsidRPr="00450E93">
        <w:t xml:space="preserve"> with the EDE Partner to review and confirm remediation plan.</w:t>
      </w:r>
    </w:p>
    <w:p w14:paraId="001F7F5A" w14:textId="507C3B30" w:rsidR="00450E93" w:rsidRPr="00450E93" w:rsidRDefault="00450E93" w:rsidP="00A53E91">
      <w:pPr>
        <w:tabs>
          <w:tab w:val="left" w:pos="5670"/>
        </w:tabs>
        <w:spacing w:line="240" w:lineRule="auto"/>
      </w:pPr>
      <w:r w:rsidRPr="00450E93">
        <w:lastRenderedPageBreak/>
        <w:t xml:space="preserve">If </w:t>
      </w:r>
      <w:r>
        <w:t xml:space="preserve">Georgia Access </w:t>
      </w:r>
      <w:r w:rsidRPr="00450E93">
        <w:t>determine</w:t>
      </w:r>
      <w:r>
        <w:t xml:space="preserve">s </w:t>
      </w:r>
      <w:r w:rsidRPr="00450E93">
        <w:t xml:space="preserve">that an EDE Partner may need to delay recertification until requirements have been met, </w:t>
      </w:r>
      <w:r>
        <w:t xml:space="preserve">Georgia Access </w:t>
      </w:r>
      <w:r w:rsidRPr="00450E93">
        <w:t>schedule</w:t>
      </w:r>
      <w:r>
        <w:t>s</w:t>
      </w:r>
      <w:r w:rsidRPr="00450E93">
        <w:t xml:space="preserve"> a meeting to review circumstances with the EDE Partner and discuss what actions are needed. If recertification is delayed, </w:t>
      </w:r>
      <w:r>
        <w:t>Georgia Access</w:t>
      </w:r>
      <w:r w:rsidRPr="00450E93">
        <w:t>:</w:t>
      </w:r>
    </w:p>
    <w:p w14:paraId="5365575E" w14:textId="782586EF" w:rsidR="00450E93" w:rsidRPr="00450E93" w:rsidRDefault="00450E93" w:rsidP="008E39B8">
      <w:pPr>
        <w:numPr>
          <w:ilvl w:val="0"/>
          <w:numId w:val="23"/>
        </w:numPr>
        <w:tabs>
          <w:tab w:val="left" w:pos="5670"/>
        </w:tabs>
        <w:spacing w:line="240" w:lineRule="auto"/>
        <w:contextualSpacing/>
      </w:pPr>
      <w:r w:rsidRPr="00450E93">
        <w:t>Send</w:t>
      </w:r>
      <w:r w:rsidR="0025795A">
        <w:t>s</w:t>
      </w:r>
      <w:r w:rsidRPr="00450E93">
        <w:t xml:space="preserve"> the EDE Partner a </w:t>
      </w:r>
      <w:r w:rsidRPr="00450E93">
        <w:rPr>
          <w:i/>
        </w:rPr>
        <w:t>Notice of Recertification Delay</w:t>
      </w:r>
      <w:r w:rsidRPr="00450E93">
        <w:t>.</w:t>
      </w:r>
    </w:p>
    <w:p w14:paraId="71D5896A" w14:textId="3F94ABB2" w:rsidR="00450E93" w:rsidRPr="00450E93" w:rsidRDefault="00450E93" w:rsidP="008E39B8">
      <w:pPr>
        <w:numPr>
          <w:ilvl w:val="0"/>
          <w:numId w:val="23"/>
        </w:numPr>
        <w:tabs>
          <w:tab w:val="left" w:pos="5670"/>
        </w:tabs>
        <w:spacing w:line="240" w:lineRule="auto"/>
        <w:contextualSpacing/>
      </w:pPr>
      <w:r w:rsidRPr="00450E93">
        <w:t>Work</w:t>
      </w:r>
      <w:r w:rsidR="0025795A">
        <w:t>s</w:t>
      </w:r>
      <w:r w:rsidRPr="00450E93">
        <w:t xml:space="preserve"> with the EDE Partner to identi</w:t>
      </w:r>
      <w:r w:rsidR="0025795A">
        <w:t>f</w:t>
      </w:r>
      <w:r w:rsidRPr="00450E93">
        <w:t>y if go-live approval for the upcoming OE is still possible, and if not, a new go-live date.</w:t>
      </w:r>
    </w:p>
    <w:p w14:paraId="28058EB0" w14:textId="70938299" w:rsidR="00450E93" w:rsidRPr="00450E93" w:rsidRDefault="00450E93" w:rsidP="008E39B8">
      <w:pPr>
        <w:numPr>
          <w:ilvl w:val="0"/>
          <w:numId w:val="23"/>
        </w:numPr>
        <w:tabs>
          <w:tab w:val="left" w:pos="5670"/>
        </w:tabs>
        <w:spacing w:line="240" w:lineRule="auto"/>
      </w:pPr>
      <w:r w:rsidRPr="00450E93">
        <w:t>Provide</w:t>
      </w:r>
      <w:r w:rsidR="0025795A">
        <w:t>s</w:t>
      </w:r>
      <w:r w:rsidRPr="00450E93">
        <w:t xml:space="preserve"> a list of next steps and requirements for recertification.</w:t>
      </w:r>
    </w:p>
    <w:p w14:paraId="783FAE0E" w14:textId="4A1D9DF7" w:rsidR="00450E93" w:rsidRPr="00450E93" w:rsidRDefault="00450E93" w:rsidP="00A53E91">
      <w:pPr>
        <w:spacing w:line="240" w:lineRule="auto"/>
      </w:pPr>
      <w:r>
        <w:t xml:space="preserve">Georgia Access </w:t>
      </w:r>
      <w:r w:rsidRPr="00450E93">
        <w:t>annually set</w:t>
      </w:r>
      <w:r w:rsidR="0025795A">
        <w:t>s</w:t>
      </w:r>
      <w:r w:rsidRPr="00450E93">
        <w:t xml:space="preserve"> dates by which EDE Partners must resolve any outstanding compliance necessary for recertification. If they do not meet that deadline, the EDE Partner </w:t>
      </w:r>
      <w:r w:rsidR="0025795A">
        <w:t>is</w:t>
      </w:r>
      <w:r w:rsidR="0025795A" w:rsidRPr="00450E93">
        <w:t xml:space="preserve"> </w:t>
      </w:r>
      <w:r w:rsidRPr="00450E93">
        <w:t xml:space="preserve">not recertified for the upcoming OE. EDE Partners may request an extension due to extenuating circumstances. Those extensions </w:t>
      </w:r>
      <w:r w:rsidR="0025795A">
        <w:t>are</w:t>
      </w:r>
      <w:r w:rsidRPr="00450E93">
        <w:t xml:space="preserve"> evaluated on a case-by-case basis.</w:t>
      </w:r>
    </w:p>
    <w:p w14:paraId="3E055129" w14:textId="34701496" w:rsidR="00450E93" w:rsidRPr="00450E93" w:rsidRDefault="00450E93" w:rsidP="00A53E91">
      <w:pPr>
        <w:tabs>
          <w:tab w:val="left" w:pos="5670"/>
        </w:tabs>
        <w:spacing w:line="240" w:lineRule="auto"/>
      </w:pPr>
      <w:r w:rsidRPr="00450E93">
        <w:t xml:space="preserve">If the EDE Partner elects to withdraw from the recertification request, </w:t>
      </w:r>
      <w:r w:rsidR="00CE634F">
        <w:t>Georgia Access</w:t>
      </w:r>
      <w:r w:rsidRPr="00450E93">
        <w:t>:</w:t>
      </w:r>
    </w:p>
    <w:p w14:paraId="6D077852" w14:textId="545299CF" w:rsidR="00450E93" w:rsidRPr="00450E93" w:rsidRDefault="00450E93" w:rsidP="008E39B8">
      <w:pPr>
        <w:numPr>
          <w:ilvl w:val="0"/>
          <w:numId w:val="24"/>
        </w:numPr>
        <w:tabs>
          <w:tab w:val="left" w:pos="5670"/>
        </w:tabs>
        <w:spacing w:line="240" w:lineRule="auto"/>
        <w:contextualSpacing/>
      </w:pPr>
      <w:r w:rsidRPr="00450E93">
        <w:t>Provide</w:t>
      </w:r>
      <w:r w:rsidR="0025795A">
        <w:t>s</w:t>
      </w:r>
      <w:r w:rsidRPr="00450E93">
        <w:t xml:space="preserve"> a </w:t>
      </w:r>
      <w:r w:rsidRPr="00450E93">
        <w:rPr>
          <w:i/>
          <w:iCs/>
        </w:rPr>
        <w:t>Withdrawal Request Form</w:t>
      </w:r>
      <w:r w:rsidRPr="00450E93">
        <w:t xml:space="preserve"> to the EDE Partner for completion.</w:t>
      </w:r>
    </w:p>
    <w:p w14:paraId="529FC73E" w14:textId="708944B0" w:rsidR="00450E93" w:rsidRPr="00450E93" w:rsidRDefault="00450E93" w:rsidP="008E39B8">
      <w:pPr>
        <w:numPr>
          <w:ilvl w:val="0"/>
          <w:numId w:val="24"/>
        </w:numPr>
        <w:tabs>
          <w:tab w:val="left" w:pos="5670"/>
        </w:tabs>
        <w:spacing w:line="240" w:lineRule="auto"/>
        <w:contextualSpacing/>
      </w:pPr>
      <w:r w:rsidRPr="00450E93">
        <w:t>Acknowledge</w:t>
      </w:r>
      <w:r w:rsidR="0025795A">
        <w:t>s</w:t>
      </w:r>
      <w:r w:rsidRPr="00450E93">
        <w:t xml:space="preserve"> receipt of withdrawal request.</w:t>
      </w:r>
    </w:p>
    <w:p w14:paraId="0AC3EB41" w14:textId="062AD602" w:rsidR="00450E93" w:rsidRPr="00450E93" w:rsidRDefault="00450E93" w:rsidP="008E39B8">
      <w:pPr>
        <w:numPr>
          <w:ilvl w:val="0"/>
          <w:numId w:val="24"/>
        </w:numPr>
        <w:tabs>
          <w:tab w:val="left" w:pos="5670"/>
        </w:tabs>
        <w:spacing w:line="240" w:lineRule="auto"/>
        <w:contextualSpacing/>
      </w:pPr>
      <w:r w:rsidRPr="00450E93">
        <w:t>Work</w:t>
      </w:r>
      <w:r w:rsidR="0025795A">
        <w:t>s</w:t>
      </w:r>
      <w:r w:rsidRPr="00450E93">
        <w:t xml:space="preserve"> with the EDE Partner to develop a transition plan for consumers.</w:t>
      </w:r>
    </w:p>
    <w:p w14:paraId="5BFD1AF3" w14:textId="07BB8711" w:rsidR="008F5680" w:rsidRDefault="008F5680" w:rsidP="00A53E91">
      <w:pPr>
        <w:pStyle w:val="Heading3"/>
        <w:spacing w:line="240" w:lineRule="auto"/>
      </w:pPr>
      <w:bookmarkStart w:id="75" w:name="_EDE_Partner-Initiated_Delay"/>
      <w:bookmarkStart w:id="76" w:name="_Toc209003050"/>
      <w:bookmarkEnd w:id="75"/>
      <w:r>
        <w:t>EDE Partner-Initiated Delay</w:t>
      </w:r>
      <w:bookmarkEnd w:id="76"/>
    </w:p>
    <w:p w14:paraId="0069C53F" w14:textId="6AB97E43" w:rsidR="00842CA6" w:rsidRPr="00842CA6" w:rsidRDefault="00842CA6" w:rsidP="00A53E91">
      <w:pPr>
        <w:tabs>
          <w:tab w:val="left" w:pos="5670"/>
        </w:tabs>
        <w:spacing w:line="240" w:lineRule="auto"/>
        <w:rPr>
          <w:color w:val="000000" w:themeColor="text1"/>
        </w:rPr>
      </w:pPr>
      <w:r>
        <w:t>Delay of EDE Partner recertification follow</w:t>
      </w:r>
      <w:r w:rsidR="0025795A">
        <w:t>s</w:t>
      </w:r>
      <w:r>
        <w:t xml:space="preserve"> the same process as initial certification as detailed in </w:t>
      </w:r>
      <w:hyperlink w:anchor="_EDE_Partner_Applicant-Initiated" w:history="1">
        <w:r w:rsidR="0049651C">
          <w:rPr>
            <w:rStyle w:val="Hyperlink"/>
            <w:i/>
            <w:iCs/>
          </w:rPr>
          <w:t>Section 2.2.4 EDE Partner Applicant-Initiated Delay</w:t>
        </w:r>
      </w:hyperlink>
      <w:r w:rsidRPr="00A737B4">
        <w:t>.</w:t>
      </w:r>
    </w:p>
    <w:p w14:paraId="6F0BF031" w14:textId="455A63CE" w:rsidR="008F5680" w:rsidRDefault="008F5680" w:rsidP="00A53E91">
      <w:pPr>
        <w:pStyle w:val="Heading3"/>
        <w:spacing w:line="240" w:lineRule="auto"/>
      </w:pPr>
      <w:bookmarkStart w:id="77" w:name="_EDE_Partner-Initiated_Withdrawal"/>
      <w:bookmarkStart w:id="78" w:name="_Toc209003051"/>
      <w:bookmarkEnd w:id="77"/>
      <w:r>
        <w:t>EDE Partner-Initiated Withdrawal</w:t>
      </w:r>
      <w:bookmarkEnd w:id="78"/>
    </w:p>
    <w:p w14:paraId="4D700B29" w14:textId="6B5EAC48" w:rsidR="00842CA6" w:rsidRPr="00842CA6" w:rsidRDefault="00B13DC5" w:rsidP="00A53E91">
      <w:pPr>
        <w:tabs>
          <w:tab w:val="left" w:pos="5670"/>
        </w:tabs>
        <w:spacing w:line="240" w:lineRule="auto"/>
      </w:pPr>
      <w:r>
        <w:t>Withdrawal of or delay of recertification follow</w:t>
      </w:r>
      <w:r w:rsidR="00110722">
        <w:t>s</w:t>
      </w:r>
      <w:r>
        <w:t xml:space="preserve"> the same process as initial certification as detailed in </w:t>
      </w:r>
      <w:hyperlink w:anchor="_EDE_Partner_Applicant-Initiated_1" w:history="1">
        <w:r w:rsidR="0049651C">
          <w:rPr>
            <w:rStyle w:val="Hyperlink"/>
            <w:i/>
            <w:iCs/>
          </w:rPr>
          <w:t>Section 2.2.5 EDE Partner Applicant-Initiated Withdrawal</w:t>
        </w:r>
      </w:hyperlink>
      <w:r w:rsidRPr="00E03AC9">
        <w:rPr>
          <w:b/>
          <w:bCs/>
          <w:color w:val="000000" w:themeColor="text1"/>
        </w:rPr>
        <w:t>.</w:t>
      </w:r>
    </w:p>
    <w:p w14:paraId="048104D9" w14:textId="013FEADD" w:rsidR="008F5680" w:rsidRDefault="008F5680" w:rsidP="00A53E91">
      <w:pPr>
        <w:pStyle w:val="Heading3"/>
        <w:spacing w:line="240" w:lineRule="auto"/>
      </w:pPr>
      <w:bookmarkStart w:id="79" w:name="_Toc209003052"/>
      <w:r>
        <w:t>Intent Not to Recertify</w:t>
      </w:r>
      <w:bookmarkEnd w:id="79"/>
    </w:p>
    <w:p w14:paraId="37DE6F8C" w14:textId="02C60176" w:rsidR="00B13DC5" w:rsidRPr="00B13DC5" w:rsidRDefault="000C6A50" w:rsidP="00A53E91">
      <w:pPr>
        <w:spacing w:line="240" w:lineRule="auto"/>
      </w:pPr>
      <w:r>
        <w:t xml:space="preserve">Certified EDE Partners who choose not to seek recertification for the next plan year do not need to submit an EDE Partner application for recertification. </w:t>
      </w:r>
    </w:p>
    <w:p w14:paraId="06A949D4" w14:textId="1732780E" w:rsidR="008F5680" w:rsidRDefault="008F5680" w:rsidP="00A53E91">
      <w:pPr>
        <w:pStyle w:val="Heading3"/>
        <w:spacing w:line="240" w:lineRule="auto"/>
      </w:pPr>
      <w:bookmarkStart w:id="80" w:name="_Consumer_Transition_Plan"/>
      <w:bookmarkStart w:id="81" w:name="_Toc209003053"/>
      <w:bookmarkEnd w:id="80"/>
      <w:r>
        <w:t>Consumer Transition Plan for EDE Partners Not Recertified</w:t>
      </w:r>
      <w:bookmarkEnd w:id="81"/>
    </w:p>
    <w:p w14:paraId="5F818F1D" w14:textId="3A0A3860" w:rsidR="005820FA" w:rsidRPr="005820FA" w:rsidRDefault="005820FA" w:rsidP="00A53E91">
      <w:pPr>
        <w:spacing w:line="240" w:lineRule="auto"/>
      </w:pPr>
      <w:r w:rsidRPr="005820FA">
        <w:t xml:space="preserve">If an EDE Partner is not recertified for the upcoming plan year, or if their recertification is delayed so that they are not able to </w:t>
      </w:r>
      <w:r w:rsidR="00110722">
        <w:t>go</w:t>
      </w:r>
      <w:r w:rsidR="00110722" w:rsidRPr="005820FA">
        <w:t xml:space="preserve"> </w:t>
      </w:r>
      <w:r w:rsidRPr="005820FA">
        <w:t xml:space="preserve">live for the upcoming OE, </w:t>
      </w:r>
      <w:r>
        <w:t>Georgia Access work</w:t>
      </w:r>
      <w:r w:rsidR="00110722">
        <w:t>s</w:t>
      </w:r>
      <w:r>
        <w:t xml:space="preserve"> with the EDE Partner to minimize potential impact on consumers.</w:t>
      </w:r>
    </w:p>
    <w:p w14:paraId="4B41D7D3" w14:textId="1B5476C1" w:rsidR="00D117D4" w:rsidRDefault="00D117D4" w:rsidP="00A53E91">
      <w:pPr>
        <w:pStyle w:val="Heading2"/>
        <w:spacing w:line="240" w:lineRule="auto"/>
      </w:pPr>
      <w:bookmarkStart w:id="82" w:name="_Toc209003054"/>
      <w:r>
        <w:t>EDE Partner Compliance Monitoring and Violations</w:t>
      </w:r>
      <w:bookmarkEnd w:id="82"/>
    </w:p>
    <w:p w14:paraId="2FA8A897" w14:textId="037E3CD1" w:rsidR="00652338" w:rsidRPr="00652338" w:rsidRDefault="00652338" w:rsidP="00A53E91">
      <w:pPr>
        <w:spacing w:line="240" w:lineRule="auto"/>
      </w:pPr>
      <w:r>
        <w:t xml:space="preserve">This section outlines the policies for monitoring EDE Partner compliance with SBE requirements post-certification. Certified EDE Partners are required to maintain compliance with Georgia Access and CCIIO standards. Georgia Access </w:t>
      </w:r>
      <w:r w:rsidRPr="005177E6">
        <w:t xml:space="preserve">may issue </w:t>
      </w:r>
      <w:r>
        <w:t xml:space="preserve">a </w:t>
      </w:r>
      <w:r w:rsidRPr="00CB361B">
        <w:rPr>
          <w:i/>
          <w:iCs/>
        </w:rPr>
        <w:t>Notice of Noncompliance</w:t>
      </w:r>
      <w:r w:rsidRPr="005177E6">
        <w:t>, temporarily</w:t>
      </w:r>
      <w:r>
        <w:t xml:space="preserve"> suspend, or decertify an EDE Partner who is non-compliant.</w:t>
      </w:r>
    </w:p>
    <w:p w14:paraId="4CA4A559" w14:textId="46893CE8" w:rsidR="005E1829" w:rsidRDefault="005E1829" w:rsidP="00A53E91">
      <w:pPr>
        <w:pStyle w:val="Heading3"/>
        <w:spacing w:line="240" w:lineRule="auto"/>
      </w:pPr>
      <w:bookmarkStart w:id="83" w:name="_Toc209003055"/>
      <w:r>
        <w:t>Compliance Audits</w:t>
      </w:r>
      <w:bookmarkEnd w:id="83"/>
    </w:p>
    <w:p w14:paraId="0894202F" w14:textId="6DA31965" w:rsidR="00652338" w:rsidRDefault="00652338" w:rsidP="00A53E91">
      <w:pPr>
        <w:pStyle w:val="Heading4"/>
        <w:spacing w:line="240" w:lineRule="auto"/>
      </w:pPr>
      <w:bookmarkStart w:id="84" w:name="_Annual_Compliance_Audit"/>
      <w:bookmarkEnd w:id="84"/>
      <w:r>
        <w:t>Annual Compliance Audit Documentation</w:t>
      </w:r>
    </w:p>
    <w:p w14:paraId="34A4B7BF" w14:textId="643FF5FE" w:rsidR="002B5702" w:rsidRDefault="002B5702" w:rsidP="00A53E91">
      <w:pPr>
        <w:spacing w:line="240" w:lineRule="auto"/>
      </w:pPr>
      <w:r>
        <w:t xml:space="preserve">EDE Partners are required to complete annual audits and submit the associated documentation to Georgia Access to remain compliant with Georgia Access requirements and federal regulations (45 CFR 155.280). </w:t>
      </w:r>
    </w:p>
    <w:p w14:paraId="2E29EB3C" w14:textId="53AE2F6F" w:rsidR="002B5702" w:rsidRDefault="002B5702" w:rsidP="00A53E91">
      <w:pPr>
        <w:spacing w:line="240" w:lineRule="auto"/>
      </w:pPr>
      <w:r>
        <w:t xml:space="preserve">Georgia Access does not require EDE Partner applicants to undergo separate, Georgia Access-specific audits for the </w:t>
      </w:r>
      <w:r w:rsidR="00352C8F">
        <w:t xml:space="preserve">State’s </w:t>
      </w:r>
      <w:r>
        <w:t>first year</w:t>
      </w:r>
      <w:r w:rsidR="00352C8F">
        <w:t xml:space="preserve"> as an SBE</w:t>
      </w:r>
      <w:r w:rsidR="008E68FD">
        <w:t xml:space="preserve"> (i.e., PY 2025)</w:t>
      </w:r>
      <w:r>
        <w:t>.</w:t>
      </w:r>
      <w:r w:rsidR="00D42288">
        <w:t xml:space="preserve"> </w:t>
      </w:r>
      <w:r w:rsidR="00561F5B">
        <w:t>For PY 2025</w:t>
      </w:r>
      <w:r w:rsidR="00D42288">
        <w:t xml:space="preserve">, Georgia Access will instead </w:t>
      </w:r>
      <w:r w:rsidR="00633A3A">
        <w:t>verify that EDE Partners</w:t>
      </w:r>
      <w:r w:rsidR="00A12FCA">
        <w:t xml:space="preserve"> </w:t>
      </w:r>
      <w:proofErr w:type="gramStart"/>
      <w:r w:rsidR="00A12FCA">
        <w:t>are in compliance with</w:t>
      </w:r>
      <w:proofErr w:type="gramEnd"/>
      <w:r w:rsidR="00A12FCA">
        <w:t xml:space="preserve"> their lates</w:t>
      </w:r>
      <w:r w:rsidR="00BA5D93">
        <w:t>t CMS audit.</w:t>
      </w:r>
    </w:p>
    <w:p w14:paraId="19323644" w14:textId="6235936E" w:rsidR="002B5702" w:rsidRDefault="002B5702" w:rsidP="00A53E91">
      <w:pPr>
        <w:spacing w:line="240" w:lineRule="auto"/>
      </w:pPr>
      <w:r>
        <w:lastRenderedPageBreak/>
        <w:t>In future years, primary EDE entities must submit updated CMS Privacy and Security Audit and</w:t>
      </w:r>
      <w:r w:rsidDel="005656AA">
        <w:t xml:space="preserve"> </w:t>
      </w:r>
      <w:r>
        <w:t xml:space="preserve">CMS Business Requirements Audit documentation within </w:t>
      </w:r>
      <w:r w:rsidR="006810FD">
        <w:t>ten</w:t>
      </w:r>
      <w:r>
        <w:t xml:space="preserve"> days of receiving CMS approval. Georgia Access </w:t>
      </w:r>
      <w:r w:rsidR="000D33BF">
        <w:t xml:space="preserve">requires that EDE Partners provide </w:t>
      </w:r>
      <w:r>
        <w:t xml:space="preserve">the latest documentation. If a primary entity undergoes any changes that trigger a new CMS audit, the primary entity must notify </w:t>
      </w:r>
      <w:r w:rsidR="00CE634F">
        <w:t xml:space="preserve">Georgia Access </w:t>
      </w:r>
      <w:r>
        <w:t>prior to undergoing the change and submit any new audit documentation to Georgia Access within five days of receiving CMS approval on the new audit.</w:t>
      </w:r>
    </w:p>
    <w:p w14:paraId="189A1D37" w14:textId="6D3DB654" w:rsidR="00E0289B" w:rsidRPr="00E0289B" w:rsidRDefault="002B5702" w:rsidP="00A53E91">
      <w:pPr>
        <w:spacing w:line="240" w:lineRule="auto"/>
      </w:pPr>
      <w:r>
        <w:t>Primary entities, hybrid issuers, and hybrid non-issuers must submit an updated</w:t>
      </w:r>
      <w:r w:rsidR="006355E6">
        <w:t xml:space="preserve"> audit for any optional change requests</w:t>
      </w:r>
      <w:r w:rsidR="005F732C">
        <w:t xml:space="preserve"> beyond minor UI, consumer application, or branding changes</w:t>
      </w:r>
      <w:r w:rsidR="006355E6">
        <w:t>.</w:t>
      </w:r>
      <w:r>
        <w:t xml:space="preserve">  Refer to </w:t>
      </w:r>
      <w:hyperlink w:anchor="_Optional_Change_Requests" w:history="1">
        <w:r w:rsidR="00A62497">
          <w:rPr>
            <w:rStyle w:val="Hyperlink"/>
            <w:i/>
            <w:iCs/>
          </w:rPr>
          <w:t>Section 2.3.1.2 Optional Change Requests</w:t>
        </w:r>
      </w:hyperlink>
      <w:r>
        <w:t xml:space="preserve"> for more details on the optional change request process.</w:t>
      </w:r>
    </w:p>
    <w:p w14:paraId="4395E4F1" w14:textId="2E04E14A" w:rsidR="00652338" w:rsidRDefault="00652338" w:rsidP="00A53E91">
      <w:pPr>
        <w:pStyle w:val="Heading4"/>
        <w:spacing w:line="240" w:lineRule="auto"/>
      </w:pPr>
      <w:r>
        <w:t>Review of Audit Documentation</w:t>
      </w:r>
    </w:p>
    <w:p w14:paraId="1DD34834" w14:textId="19CF2381" w:rsidR="00366BC2" w:rsidRPr="00366BC2" w:rsidRDefault="00E0289B" w:rsidP="00A53E91">
      <w:pPr>
        <w:spacing w:line="240" w:lineRule="auto"/>
      </w:pPr>
      <w:r>
        <w:t xml:space="preserve">Primary EDE entities must submit monthly vulnerability scans and updated POA&amp;M forms (if required) to Georgia Access as part of the Georgia Access privacy and security requirements. </w:t>
      </w:r>
      <w:r w:rsidR="00CE634F">
        <w:t>Georgia Access review</w:t>
      </w:r>
      <w:r w:rsidR="000D6F0D">
        <w:t>s</w:t>
      </w:r>
      <w:r>
        <w:t xml:space="preserve"> the documentation within </w:t>
      </w:r>
      <w:r w:rsidR="00692524">
        <w:t>five</w:t>
      </w:r>
      <w:r>
        <w:t xml:space="preserve"> days of receiving the forms and contact</w:t>
      </w:r>
      <w:r w:rsidR="000D6F0D">
        <w:t>s</w:t>
      </w:r>
      <w:r>
        <w:t xml:space="preserve"> EDE Partners if any concerns are identified in the review.</w:t>
      </w:r>
    </w:p>
    <w:p w14:paraId="19A4D2C1" w14:textId="7F81F245" w:rsidR="00652338" w:rsidRDefault="00652338" w:rsidP="00A53E91">
      <w:pPr>
        <w:pStyle w:val="Heading4"/>
        <w:spacing w:line="240" w:lineRule="auto"/>
      </w:pPr>
      <w:r>
        <w:t>Periodic Compliance Audits</w:t>
      </w:r>
    </w:p>
    <w:p w14:paraId="4C22CDBD" w14:textId="2A88D5C2" w:rsidR="00366BC2" w:rsidRDefault="00CE634F" w:rsidP="00A53E91">
      <w:pPr>
        <w:spacing w:line="240" w:lineRule="auto"/>
      </w:pPr>
      <w:r>
        <w:t>Georgia Access</w:t>
      </w:r>
      <w:r w:rsidR="00366BC2">
        <w:t xml:space="preserve"> </w:t>
      </w:r>
      <w:r>
        <w:t>is</w:t>
      </w:r>
      <w:r w:rsidR="00366BC2">
        <w:t xml:space="preserve"> responsible for routine monitoring of certified EDE Partners for compliance. </w:t>
      </w:r>
      <w:r>
        <w:t>Georgia Access</w:t>
      </w:r>
      <w:r w:rsidR="00366BC2">
        <w:t xml:space="preserve"> review</w:t>
      </w:r>
      <w:r>
        <w:t>s</w:t>
      </w:r>
      <w:r w:rsidR="00366BC2">
        <w:t xml:space="preserve"> all certified EDE Partners at least once per quarter.</w:t>
      </w:r>
    </w:p>
    <w:p w14:paraId="6E3BA19A" w14:textId="7DF4386B" w:rsidR="00366BC2" w:rsidRDefault="00CE634F" w:rsidP="18F4D121">
      <w:pPr>
        <w:spacing w:line="240" w:lineRule="auto"/>
        <w:jc w:val="both"/>
      </w:pPr>
      <w:r>
        <w:t xml:space="preserve">Georgia Access </w:t>
      </w:r>
      <w:r w:rsidR="00366BC2">
        <w:t>conduct</w:t>
      </w:r>
      <w:r w:rsidR="000D6F0D">
        <w:t>s</w:t>
      </w:r>
      <w:r w:rsidR="00366BC2">
        <w:t xml:space="preserve"> periodic spot checks of certified EDE Partners, including </w:t>
      </w:r>
      <w:r w:rsidR="000D6F0D">
        <w:t xml:space="preserve">for </w:t>
      </w:r>
      <w:r w:rsidR="00366BC2">
        <w:t>the following requirements:</w:t>
      </w:r>
    </w:p>
    <w:p w14:paraId="00B377E7" w14:textId="77777777" w:rsidR="00366BC2" w:rsidRDefault="00366BC2" w:rsidP="008E39B8">
      <w:pPr>
        <w:pStyle w:val="ListParagraph"/>
        <w:numPr>
          <w:ilvl w:val="0"/>
          <w:numId w:val="28"/>
        </w:numPr>
        <w:spacing w:line="240" w:lineRule="auto"/>
        <w:jc w:val="both"/>
      </w:pPr>
      <w:r>
        <w:t>Website design/UI</w:t>
      </w:r>
    </w:p>
    <w:p w14:paraId="000B7C37" w14:textId="77777777" w:rsidR="00366BC2" w:rsidRDefault="00366BC2" w:rsidP="008E39B8">
      <w:pPr>
        <w:pStyle w:val="ListParagraph"/>
        <w:numPr>
          <w:ilvl w:val="0"/>
          <w:numId w:val="28"/>
        </w:numPr>
        <w:spacing w:line="240" w:lineRule="auto"/>
        <w:jc w:val="both"/>
      </w:pPr>
      <w:r>
        <w:t>Consumer application</w:t>
      </w:r>
    </w:p>
    <w:p w14:paraId="53A8EC4C" w14:textId="77777777" w:rsidR="00366BC2" w:rsidRDefault="00366BC2" w:rsidP="008E39B8">
      <w:pPr>
        <w:pStyle w:val="ListParagraph"/>
        <w:numPr>
          <w:ilvl w:val="0"/>
          <w:numId w:val="28"/>
        </w:numPr>
        <w:spacing w:line="240" w:lineRule="auto"/>
        <w:jc w:val="both"/>
      </w:pPr>
      <w:r>
        <w:t>Plan display</w:t>
      </w:r>
    </w:p>
    <w:p w14:paraId="127E0C4B" w14:textId="77777777" w:rsidR="00366BC2" w:rsidRDefault="00366BC2" w:rsidP="008E39B8">
      <w:pPr>
        <w:pStyle w:val="ListParagraph"/>
        <w:numPr>
          <w:ilvl w:val="0"/>
          <w:numId w:val="28"/>
        </w:numPr>
        <w:spacing w:line="240" w:lineRule="auto"/>
        <w:jc w:val="both"/>
      </w:pPr>
      <w:r>
        <w:t>Branding/marketing</w:t>
      </w:r>
    </w:p>
    <w:p w14:paraId="310C9E54" w14:textId="0D973A53" w:rsidR="00366BC2" w:rsidRPr="00366BC2" w:rsidRDefault="00366BC2" w:rsidP="008E39B8">
      <w:pPr>
        <w:pStyle w:val="ListParagraph"/>
        <w:numPr>
          <w:ilvl w:val="0"/>
          <w:numId w:val="28"/>
        </w:numPr>
        <w:spacing w:line="240" w:lineRule="auto"/>
        <w:jc w:val="both"/>
      </w:pPr>
      <w:r>
        <w:t>Consumer notices</w:t>
      </w:r>
    </w:p>
    <w:p w14:paraId="04E79D56" w14:textId="623DDB04" w:rsidR="00652338" w:rsidRDefault="005E1829" w:rsidP="18F4D121">
      <w:pPr>
        <w:pStyle w:val="Heading3"/>
        <w:spacing w:line="240" w:lineRule="auto"/>
        <w:jc w:val="both"/>
      </w:pPr>
      <w:bookmarkStart w:id="85" w:name="_Toc209003056"/>
      <w:r>
        <w:t>Compl</w:t>
      </w:r>
      <w:r w:rsidR="008F5680">
        <w:t>aint Investigation</w:t>
      </w:r>
      <w:bookmarkEnd w:id="85"/>
    </w:p>
    <w:p w14:paraId="7AAE5E62" w14:textId="49A608AA" w:rsidR="00E83FB9" w:rsidRPr="00E83FB9" w:rsidRDefault="00845503" w:rsidP="18F4D121">
      <w:pPr>
        <w:spacing w:line="240" w:lineRule="auto"/>
        <w:jc w:val="both"/>
      </w:pPr>
      <w:r>
        <w:t xml:space="preserve">If Georgia Access </w:t>
      </w:r>
      <w:proofErr w:type="gramStart"/>
      <w:r w:rsidR="00ED364B">
        <w:t>conducts an investigation into</w:t>
      </w:r>
      <w:proofErr w:type="gramEnd"/>
      <w:r w:rsidR="00ED364B">
        <w:t xml:space="preserve"> </w:t>
      </w:r>
      <w:r w:rsidR="00BD2929">
        <w:t xml:space="preserve">an EDE Partner and </w:t>
      </w:r>
      <w:r>
        <w:t xml:space="preserve">finds that </w:t>
      </w:r>
      <w:r w:rsidR="002206F1">
        <w:t xml:space="preserve">that </w:t>
      </w:r>
      <w:r>
        <w:t xml:space="preserve">EDE Partner is not in compliance, </w:t>
      </w:r>
      <w:r w:rsidR="007E55C8">
        <w:t>or has committed fraud</w:t>
      </w:r>
      <w:r>
        <w:t>, Georgia Access follow</w:t>
      </w:r>
      <w:r w:rsidR="00452659">
        <w:t>s</w:t>
      </w:r>
      <w:r>
        <w:t xml:space="preserve"> the process for suspension and/or </w:t>
      </w:r>
      <w:r w:rsidR="00180F70">
        <w:t>decertification. Refer</w:t>
      </w:r>
      <w:r w:rsidR="00743DA4">
        <w:t xml:space="preserve"> to </w:t>
      </w:r>
      <w:hyperlink w:anchor="_Suspension">
        <w:r w:rsidR="00743DA4" w:rsidRPr="18F4D121">
          <w:rPr>
            <w:rStyle w:val="Hyperlink"/>
            <w:i/>
            <w:iCs/>
          </w:rPr>
          <w:t xml:space="preserve">Section </w:t>
        </w:r>
        <w:r w:rsidR="009D626B" w:rsidRPr="18F4D121">
          <w:rPr>
            <w:rStyle w:val="Hyperlink"/>
            <w:i/>
            <w:iCs/>
          </w:rPr>
          <w:t>2.5.4 Suspension</w:t>
        </w:r>
      </w:hyperlink>
      <w:r w:rsidR="009D626B">
        <w:t xml:space="preserve"> and </w:t>
      </w:r>
      <w:hyperlink w:anchor="_Decertification">
        <w:r w:rsidR="009D626B" w:rsidRPr="18F4D121">
          <w:rPr>
            <w:rStyle w:val="Hyperlink"/>
            <w:i/>
            <w:iCs/>
          </w:rPr>
          <w:t>Section 2.5.5 Decertification</w:t>
        </w:r>
      </w:hyperlink>
      <w:r w:rsidR="009D626B">
        <w:t xml:space="preserve"> </w:t>
      </w:r>
      <w:r w:rsidR="00743DA4">
        <w:t>for more details.</w:t>
      </w:r>
    </w:p>
    <w:p w14:paraId="2AEF3664" w14:textId="4D5157FB" w:rsidR="008F5680" w:rsidRDefault="008F5680" w:rsidP="18F4D121">
      <w:pPr>
        <w:pStyle w:val="Heading3"/>
        <w:spacing w:line="240" w:lineRule="auto"/>
        <w:jc w:val="both"/>
      </w:pPr>
      <w:bookmarkStart w:id="86" w:name="_Finding_of_Noncompliance"/>
      <w:bookmarkStart w:id="87" w:name="_Toc209003057"/>
      <w:bookmarkEnd w:id="86"/>
      <w:proofErr w:type="gramStart"/>
      <w:r>
        <w:t>Finding of</w:t>
      </w:r>
      <w:proofErr w:type="gramEnd"/>
      <w:r>
        <w:t xml:space="preserve"> Noncompliance</w:t>
      </w:r>
      <w:bookmarkEnd w:id="87"/>
    </w:p>
    <w:p w14:paraId="56D3D6A7" w14:textId="724912AA" w:rsidR="00E83FB9" w:rsidRDefault="00E83FB9" w:rsidP="18F4D121">
      <w:pPr>
        <w:spacing w:line="240" w:lineRule="auto"/>
        <w:jc w:val="both"/>
      </w:pPr>
      <w:r>
        <w:t>If Georgia Access identifies that a certified EDE Partner is not in compliance with the requirements, Georgia Access:</w:t>
      </w:r>
    </w:p>
    <w:p w14:paraId="55F1AAAD" w14:textId="3B0F2C38" w:rsidR="00E83FB9" w:rsidRDefault="00E83FB9" w:rsidP="008E39B8">
      <w:pPr>
        <w:pStyle w:val="ListParagraph"/>
        <w:numPr>
          <w:ilvl w:val="0"/>
          <w:numId w:val="37"/>
        </w:numPr>
        <w:spacing w:line="240" w:lineRule="auto"/>
      </w:pPr>
      <w:r>
        <w:t>Provide</w:t>
      </w:r>
      <w:r w:rsidR="00452659">
        <w:t>s a</w:t>
      </w:r>
      <w:r>
        <w:t xml:space="preserve"> </w:t>
      </w:r>
      <w:r w:rsidRPr="00442C10">
        <w:rPr>
          <w:i/>
          <w:iCs/>
        </w:rPr>
        <w:t>Notice of Noncompliance</w:t>
      </w:r>
      <w:r w:rsidR="00AA6071">
        <w:rPr>
          <w:i/>
          <w:iCs/>
        </w:rPr>
        <w:t xml:space="preserve"> </w:t>
      </w:r>
      <w:r w:rsidR="00AA6071">
        <w:t>to the EDE Partner</w:t>
      </w:r>
      <w:r>
        <w:t xml:space="preserve">, indicating which requirements </w:t>
      </w:r>
      <w:r w:rsidR="00AA6071">
        <w:t>were</w:t>
      </w:r>
      <w:r>
        <w:t xml:space="preserve"> violated and </w:t>
      </w:r>
      <w:r w:rsidR="008B1B71">
        <w:t>outlining</w:t>
      </w:r>
      <w:r w:rsidR="00AA6071">
        <w:t xml:space="preserve"> </w:t>
      </w:r>
      <w:r>
        <w:t xml:space="preserve">deadlines and requirements for </w:t>
      </w:r>
      <w:r w:rsidR="008B1B71">
        <w:t>a remediation plan</w:t>
      </w:r>
      <w:r>
        <w:t>.</w:t>
      </w:r>
    </w:p>
    <w:p w14:paraId="72118663" w14:textId="2629487F" w:rsidR="002426D5" w:rsidRPr="002426D5" w:rsidRDefault="00E83FB9" w:rsidP="008E39B8">
      <w:pPr>
        <w:pStyle w:val="ListParagraph"/>
        <w:numPr>
          <w:ilvl w:val="0"/>
          <w:numId w:val="37"/>
        </w:numPr>
        <w:spacing w:line="240" w:lineRule="auto"/>
      </w:pPr>
      <w:r>
        <w:t>Receive</w:t>
      </w:r>
      <w:r w:rsidR="00452659">
        <w:t>s</w:t>
      </w:r>
      <w:r>
        <w:t>, review</w:t>
      </w:r>
      <w:r w:rsidR="00452659">
        <w:t>s</w:t>
      </w:r>
      <w:r>
        <w:t>, and approve</w:t>
      </w:r>
      <w:r w:rsidR="00452659">
        <w:t>s</w:t>
      </w:r>
      <w:r>
        <w:t xml:space="preserve"> the remediation plan from the EDE Partner.</w:t>
      </w:r>
    </w:p>
    <w:p w14:paraId="3AE600AF" w14:textId="62ADB05E" w:rsidR="00722BCB" w:rsidRDefault="009C1FD2" w:rsidP="00A53E91">
      <w:pPr>
        <w:pStyle w:val="Heading4"/>
        <w:spacing w:line="240" w:lineRule="auto"/>
      </w:pPr>
      <w:r>
        <w:t xml:space="preserve">Ongoing </w:t>
      </w:r>
      <w:r w:rsidR="00BE270D">
        <w:t>Implementation Meetings and 1:1s</w:t>
      </w:r>
    </w:p>
    <w:p w14:paraId="21A41F8A" w14:textId="505222D8" w:rsidR="00722BCB" w:rsidRPr="002426D5" w:rsidRDefault="004A1DC4" w:rsidP="00A53E91">
      <w:pPr>
        <w:spacing w:line="240" w:lineRule="auto"/>
      </w:pPr>
      <w:r>
        <w:t>After certification, EDE Partners are expected to continue participating in</w:t>
      </w:r>
      <w:r w:rsidR="00835663">
        <w:t xml:space="preserve"> </w:t>
      </w:r>
      <w:r w:rsidR="007D4007">
        <w:t xml:space="preserve">the monthly EDE implementation meetings and </w:t>
      </w:r>
      <w:r w:rsidR="00266C63">
        <w:t>monthly (or semi-monthly)</w:t>
      </w:r>
      <w:r w:rsidR="007D4007">
        <w:t xml:space="preserve"> </w:t>
      </w:r>
      <w:r w:rsidR="00367CBF">
        <w:t xml:space="preserve">EDE Partner </w:t>
      </w:r>
      <w:r w:rsidR="007D4007">
        <w:t>1:1s</w:t>
      </w:r>
      <w:r w:rsidR="00D87644">
        <w:t xml:space="preserve"> </w:t>
      </w:r>
      <w:r w:rsidR="00FE6DFF">
        <w:t>(</w:t>
      </w:r>
      <w:r w:rsidR="00266C63">
        <w:t>frequency</w:t>
      </w:r>
      <w:r w:rsidR="00477954">
        <w:t xml:space="preserve"> depend</w:t>
      </w:r>
      <w:r w:rsidR="00266C63">
        <w:t>s</w:t>
      </w:r>
      <w:r w:rsidR="00477954">
        <w:t xml:space="preserve"> on </w:t>
      </w:r>
      <w:r w:rsidR="00DB3A60">
        <w:t>level of attention needed</w:t>
      </w:r>
      <w:r w:rsidR="00477954">
        <w:t>)</w:t>
      </w:r>
      <w:r w:rsidR="000B0D46">
        <w:t>. These meetings</w:t>
      </w:r>
      <w:r w:rsidR="00D87644">
        <w:t xml:space="preserve"> cover program and technical updates</w:t>
      </w:r>
      <w:r w:rsidR="00896A01">
        <w:t>; f</w:t>
      </w:r>
      <w:r w:rsidR="00D87644">
        <w:t>ailure to adopt necessary program or operational changes results in a violation.</w:t>
      </w:r>
    </w:p>
    <w:p w14:paraId="24E044F5" w14:textId="3E16BFD1" w:rsidR="008F5680" w:rsidRDefault="008F5680" w:rsidP="00A53E91">
      <w:pPr>
        <w:pStyle w:val="Heading3"/>
        <w:spacing w:line="240" w:lineRule="auto"/>
      </w:pPr>
      <w:bookmarkStart w:id="88" w:name="_Suspension"/>
      <w:bookmarkStart w:id="89" w:name="_Toc209003058"/>
      <w:bookmarkEnd w:id="88"/>
      <w:r>
        <w:lastRenderedPageBreak/>
        <w:t>Suspension</w:t>
      </w:r>
      <w:bookmarkEnd w:id="89"/>
    </w:p>
    <w:p w14:paraId="265ABF0B" w14:textId="3E935781" w:rsidR="002426D5" w:rsidRDefault="002426D5" w:rsidP="00A53E91">
      <w:pPr>
        <w:spacing w:line="240" w:lineRule="auto"/>
      </w:pPr>
      <w:r>
        <w:t xml:space="preserve">In the event the EDE Partner does not follow the remediation plan, or is nonresponsive to </w:t>
      </w:r>
      <w:r w:rsidR="006D44B2">
        <w:t>the</w:t>
      </w:r>
      <w:r>
        <w:t xml:space="preserve"> Georgia Access </w:t>
      </w:r>
      <w:r w:rsidR="00646297" w:rsidRPr="00333740">
        <w:rPr>
          <w:i/>
          <w:iCs/>
        </w:rPr>
        <w:t>N</w:t>
      </w:r>
      <w:r w:rsidRPr="00333740">
        <w:rPr>
          <w:i/>
        </w:rPr>
        <w:t xml:space="preserve">otice of </w:t>
      </w:r>
      <w:r w:rsidR="00646297" w:rsidRPr="00333740">
        <w:rPr>
          <w:i/>
          <w:iCs/>
        </w:rPr>
        <w:t>N</w:t>
      </w:r>
      <w:r w:rsidRPr="00333740">
        <w:rPr>
          <w:i/>
        </w:rPr>
        <w:t>oncompliance</w:t>
      </w:r>
      <w:r>
        <w:t>, Georgia Access:</w:t>
      </w:r>
    </w:p>
    <w:p w14:paraId="025FE191" w14:textId="7C85B5D1" w:rsidR="002426D5" w:rsidRDefault="002426D5" w:rsidP="008E39B8">
      <w:pPr>
        <w:pStyle w:val="ListParagraph"/>
        <w:numPr>
          <w:ilvl w:val="0"/>
          <w:numId w:val="36"/>
        </w:numPr>
        <w:spacing w:line="240" w:lineRule="auto"/>
      </w:pPr>
      <w:r>
        <w:t>Issue</w:t>
      </w:r>
      <w:r w:rsidR="00452659">
        <w:t>s</w:t>
      </w:r>
      <w:r>
        <w:t xml:space="preserve"> a </w:t>
      </w:r>
      <w:r w:rsidRPr="00F302FE">
        <w:rPr>
          <w:i/>
          <w:iCs/>
        </w:rPr>
        <w:t>Final Warning Letter of Noncompliance</w:t>
      </w:r>
      <w:r>
        <w:t xml:space="preserve"> that includes a date for suspension from Georgia Access.</w:t>
      </w:r>
    </w:p>
    <w:p w14:paraId="335D369E" w14:textId="69359B16" w:rsidR="002426D5" w:rsidRDefault="002426D5" w:rsidP="008E39B8">
      <w:pPr>
        <w:pStyle w:val="ListParagraph"/>
        <w:numPr>
          <w:ilvl w:val="0"/>
          <w:numId w:val="36"/>
        </w:numPr>
        <w:spacing w:line="240" w:lineRule="auto"/>
      </w:pPr>
      <w:r>
        <w:t>Issue</w:t>
      </w:r>
      <w:r w:rsidR="00452659">
        <w:t>s</w:t>
      </w:r>
      <w:r>
        <w:t xml:space="preserve"> a </w:t>
      </w:r>
      <w:r>
        <w:rPr>
          <w:i/>
          <w:iCs/>
        </w:rPr>
        <w:t>Letter</w:t>
      </w:r>
      <w:r>
        <w:rPr>
          <w:i/>
        </w:rPr>
        <w:t xml:space="preserve"> of </w:t>
      </w:r>
      <w:r>
        <w:rPr>
          <w:i/>
          <w:iCs/>
        </w:rPr>
        <w:t>Suspension</w:t>
      </w:r>
      <w:r>
        <w:t>, revoke</w:t>
      </w:r>
      <w:r w:rsidR="00452659">
        <w:t>s</w:t>
      </w:r>
      <w:r>
        <w:t xml:space="preserve"> access to </w:t>
      </w:r>
      <w:r w:rsidR="00984B42">
        <w:t xml:space="preserve">Georgia </w:t>
      </w:r>
      <w:proofErr w:type="gramStart"/>
      <w:r w:rsidR="00984B42">
        <w:t>Access</w:t>
      </w:r>
      <w:r>
        <w:t xml:space="preserve"> APIs, and</w:t>
      </w:r>
      <w:proofErr w:type="gramEnd"/>
      <w:r>
        <w:t xml:space="preserve"> remove</w:t>
      </w:r>
      <w:r w:rsidR="00452659">
        <w:t>s</w:t>
      </w:r>
      <w:r>
        <w:t xml:space="preserve"> the EDE Partner from the Georgia Access </w:t>
      </w:r>
      <w:r w:rsidR="002677B2">
        <w:t>website</w:t>
      </w:r>
      <w:r>
        <w:t xml:space="preserve"> if the EDE Partner fails to take the appropriate remediation steps by the final deadline.</w:t>
      </w:r>
    </w:p>
    <w:p w14:paraId="0230D4A7" w14:textId="6F2CEA43" w:rsidR="002426D5" w:rsidRPr="002426D5" w:rsidRDefault="002426D5" w:rsidP="008E39B8">
      <w:pPr>
        <w:pStyle w:val="ListParagraph"/>
        <w:numPr>
          <w:ilvl w:val="0"/>
          <w:numId w:val="36"/>
        </w:numPr>
        <w:spacing w:line="240" w:lineRule="auto"/>
        <w:contextualSpacing w:val="0"/>
      </w:pPr>
      <w:r>
        <w:t>Continue</w:t>
      </w:r>
      <w:r w:rsidR="00452659">
        <w:t>s</w:t>
      </w:r>
      <w:r>
        <w:t xml:space="preserve"> to hold the EDE Partner in suspended status until the issue is resolved.</w:t>
      </w:r>
    </w:p>
    <w:p w14:paraId="4FCD4DC1" w14:textId="001B1D64" w:rsidR="00652338" w:rsidRDefault="00652338" w:rsidP="00A53E91">
      <w:pPr>
        <w:pStyle w:val="Heading4"/>
        <w:spacing w:line="240" w:lineRule="auto"/>
      </w:pPr>
      <w:r>
        <w:t>Suspension Prior to Go</w:t>
      </w:r>
      <w:r w:rsidR="00BC7671">
        <w:t>-</w:t>
      </w:r>
      <w:r>
        <w:t>Live</w:t>
      </w:r>
    </w:p>
    <w:p w14:paraId="07F668F6" w14:textId="33725393" w:rsidR="0094774D" w:rsidRDefault="0094774D" w:rsidP="00A53E91">
      <w:pPr>
        <w:spacing w:line="240" w:lineRule="auto"/>
      </w:pPr>
      <w:r>
        <w:t>If an EDE Partner is suspended after certification but prior to its go-live date for consumer enrollment, Georgia Access:</w:t>
      </w:r>
    </w:p>
    <w:p w14:paraId="1325545A" w14:textId="671CEE9C" w:rsidR="0094774D" w:rsidRDefault="0094774D" w:rsidP="008E39B8">
      <w:pPr>
        <w:pStyle w:val="ListParagraph"/>
        <w:numPr>
          <w:ilvl w:val="0"/>
          <w:numId w:val="27"/>
        </w:numPr>
        <w:spacing w:line="240" w:lineRule="auto"/>
      </w:pPr>
      <w:r>
        <w:t>Instruct</w:t>
      </w:r>
      <w:r w:rsidR="00BC7671">
        <w:t>s</w:t>
      </w:r>
      <w:r>
        <w:t xml:space="preserve"> the EDE Partner to pause all marketing and outreach activities.</w:t>
      </w:r>
    </w:p>
    <w:p w14:paraId="1A21AFE7" w14:textId="561C3C89" w:rsidR="0094774D" w:rsidRDefault="0094774D" w:rsidP="008E39B8">
      <w:pPr>
        <w:pStyle w:val="ListParagraph"/>
        <w:numPr>
          <w:ilvl w:val="0"/>
          <w:numId w:val="27"/>
        </w:numPr>
        <w:spacing w:line="240" w:lineRule="auto"/>
      </w:pPr>
      <w:r>
        <w:t>Remove</w:t>
      </w:r>
      <w:r w:rsidR="00BC7671">
        <w:t>s</w:t>
      </w:r>
      <w:r>
        <w:t xml:space="preserve"> the EDE Partner from the Georgia Access </w:t>
      </w:r>
      <w:r w:rsidR="002677B2">
        <w:t>w</w:t>
      </w:r>
      <w:r>
        <w:t>ebsite.</w:t>
      </w:r>
    </w:p>
    <w:p w14:paraId="3E094B60" w14:textId="7F68C564" w:rsidR="00AB54F4" w:rsidRPr="00AB54F4" w:rsidRDefault="0094774D" w:rsidP="008E39B8">
      <w:pPr>
        <w:pStyle w:val="ListParagraph"/>
        <w:numPr>
          <w:ilvl w:val="0"/>
          <w:numId w:val="27"/>
        </w:numPr>
        <w:spacing w:line="240" w:lineRule="auto"/>
      </w:pPr>
      <w:r>
        <w:t>Pause</w:t>
      </w:r>
      <w:r w:rsidR="00BC7671">
        <w:t>s</w:t>
      </w:r>
      <w:r>
        <w:t xml:space="preserve"> all system and integration testing.</w:t>
      </w:r>
    </w:p>
    <w:p w14:paraId="1C107CD1" w14:textId="04DC7888" w:rsidR="00652338" w:rsidRDefault="00652338" w:rsidP="00A53E91">
      <w:pPr>
        <w:pStyle w:val="Heading4"/>
        <w:spacing w:line="240" w:lineRule="auto"/>
      </w:pPr>
      <w:r>
        <w:t>Suspension After Go</w:t>
      </w:r>
      <w:r w:rsidR="00BC7671">
        <w:t>-</w:t>
      </w:r>
      <w:r>
        <w:t>Live but Prior to OE</w:t>
      </w:r>
    </w:p>
    <w:p w14:paraId="4A45BB51" w14:textId="655E6544" w:rsidR="00AB54F4" w:rsidRDefault="00AB54F4" w:rsidP="00A53E91">
      <w:pPr>
        <w:spacing w:line="240" w:lineRule="auto"/>
      </w:pPr>
      <w:r>
        <w:t xml:space="preserve">If an EDE Partner is suspended after it has gone live </w:t>
      </w:r>
      <w:r w:rsidR="00BE14BD">
        <w:t xml:space="preserve">to the </w:t>
      </w:r>
      <w:r>
        <w:t>p</w:t>
      </w:r>
      <w:r w:rsidR="00BE14BD">
        <w:t>ublic</w:t>
      </w:r>
      <w:r w:rsidR="009254B2">
        <w:t xml:space="preserve">, </w:t>
      </w:r>
      <w:r>
        <w:t>but prior to the next OE, Georgia Access:</w:t>
      </w:r>
    </w:p>
    <w:p w14:paraId="702FED89" w14:textId="2E9FA03C" w:rsidR="00AB54F4" w:rsidRDefault="00AB54F4" w:rsidP="008E39B8">
      <w:pPr>
        <w:pStyle w:val="ListParagraph"/>
        <w:numPr>
          <w:ilvl w:val="0"/>
          <w:numId w:val="26"/>
        </w:numPr>
        <w:spacing w:line="240" w:lineRule="auto"/>
      </w:pPr>
      <w:r>
        <w:t>Instruct</w:t>
      </w:r>
      <w:r w:rsidR="00BC7671">
        <w:t>s</w:t>
      </w:r>
      <w:r>
        <w:t xml:space="preserve"> the EDE Partner to pause all marketing and outreach activities.</w:t>
      </w:r>
    </w:p>
    <w:p w14:paraId="79B89C2C" w14:textId="6996428D" w:rsidR="00AB54F4" w:rsidRDefault="00AB54F4" w:rsidP="008E39B8">
      <w:pPr>
        <w:pStyle w:val="ListParagraph"/>
        <w:numPr>
          <w:ilvl w:val="0"/>
          <w:numId w:val="26"/>
        </w:numPr>
        <w:spacing w:line="240" w:lineRule="auto"/>
      </w:pPr>
      <w:r>
        <w:t>Remove</w:t>
      </w:r>
      <w:r w:rsidR="004972A4">
        <w:t>s</w:t>
      </w:r>
      <w:r>
        <w:t xml:space="preserve"> the EDE Partner from the Georgia Access </w:t>
      </w:r>
      <w:r w:rsidR="002677B2">
        <w:t>website</w:t>
      </w:r>
      <w:r>
        <w:t>.</w:t>
      </w:r>
    </w:p>
    <w:p w14:paraId="3A4C4A7B" w14:textId="32BF46B0" w:rsidR="00AB54F4" w:rsidRDefault="00AB54F4" w:rsidP="008E39B8">
      <w:pPr>
        <w:pStyle w:val="ListParagraph"/>
        <w:numPr>
          <w:ilvl w:val="0"/>
          <w:numId w:val="26"/>
        </w:numPr>
        <w:spacing w:line="240" w:lineRule="auto"/>
      </w:pPr>
      <w:r>
        <w:t>Prohibit</w:t>
      </w:r>
      <w:r w:rsidR="005D3E85">
        <w:t>s</w:t>
      </w:r>
      <w:r>
        <w:t xml:space="preserve"> any new enrollment or changes within SEPs.</w:t>
      </w:r>
    </w:p>
    <w:p w14:paraId="1BD22C53" w14:textId="6FAA9F90" w:rsidR="00AB54F4" w:rsidRDefault="00AB54F4" w:rsidP="008E39B8">
      <w:pPr>
        <w:pStyle w:val="ListParagraph"/>
        <w:numPr>
          <w:ilvl w:val="0"/>
          <w:numId w:val="26"/>
        </w:numPr>
        <w:spacing w:line="240" w:lineRule="auto"/>
      </w:pPr>
      <w:r>
        <w:t>Allow</w:t>
      </w:r>
      <w:r w:rsidR="005D3E85">
        <w:t>s</w:t>
      </w:r>
      <w:r>
        <w:t xml:space="preserve"> the EDE Partner to continue to serve its currently enrolled consumers.</w:t>
      </w:r>
    </w:p>
    <w:p w14:paraId="63117EEB" w14:textId="437A127B" w:rsidR="006C2F17" w:rsidRPr="006C2F17" w:rsidRDefault="00AB54F4" w:rsidP="008E39B8">
      <w:pPr>
        <w:pStyle w:val="ListParagraph"/>
        <w:numPr>
          <w:ilvl w:val="0"/>
          <w:numId w:val="26"/>
        </w:numPr>
        <w:spacing w:line="240" w:lineRule="auto"/>
      </w:pPr>
      <w:r>
        <w:t>Direct</w:t>
      </w:r>
      <w:r w:rsidR="005D3E85">
        <w:t>s</w:t>
      </w:r>
      <w:r>
        <w:t xml:space="preserve"> auto re-enrolled consumers to another affiliate with a different EDE Partner or the Georgia Access Portal if the suspension is not lifted prior to OE.</w:t>
      </w:r>
    </w:p>
    <w:p w14:paraId="4516EA0E" w14:textId="2F813106" w:rsidR="00652338" w:rsidRDefault="00652338" w:rsidP="00A53E91">
      <w:pPr>
        <w:pStyle w:val="Heading4"/>
        <w:spacing w:line="240" w:lineRule="auto"/>
      </w:pPr>
      <w:r>
        <w:t>Suspension During OE</w:t>
      </w:r>
    </w:p>
    <w:p w14:paraId="3F9B7B76" w14:textId="776519EC" w:rsidR="006C2F17" w:rsidRDefault="006C2F17" w:rsidP="00A53E91">
      <w:pPr>
        <w:spacing w:line="240" w:lineRule="auto"/>
      </w:pPr>
      <w:r>
        <w:t>If an EDE Partner is suspended during OE, Georgia Access:</w:t>
      </w:r>
    </w:p>
    <w:p w14:paraId="4ADC4185" w14:textId="2238833E" w:rsidR="006C2F17" w:rsidRDefault="006C2F17" w:rsidP="008E39B8">
      <w:pPr>
        <w:pStyle w:val="ListParagraph"/>
        <w:numPr>
          <w:ilvl w:val="0"/>
          <w:numId w:val="25"/>
        </w:numPr>
        <w:spacing w:line="240" w:lineRule="auto"/>
      </w:pPr>
      <w:r>
        <w:t>Instruct</w:t>
      </w:r>
      <w:r w:rsidR="005D3E85">
        <w:t>s</w:t>
      </w:r>
      <w:r>
        <w:t xml:space="preserve"> the EDE Partner to pause all marketing and outreach activities.</w:t>
      </w:r>
    </w:p>
    <w:p w14:paraId="7ECA7B7B" w14:textId="3803D71F" w:rsidR="006C2F17" w:rsidRDefault="006C2F17" w:rsidP="008E39B8">
      <w:pPr>
        <w:pStyle w:val="ListParagraph"/>
        <w:numPr>
          <w:ilvl w:val="0"/>
          <w:numId w:val="25"/>
        </w:numPr>
        <w:spacing w:line="240" w:lineRule="auto"/>
      </w:pPr>
      <w:r>
        <w:t>Remove</w:t>
      </w:r>
      <w:r w:rsidR="005D3E85">
        <w:t>s</w:t>
      </w:r>
      <w:r>
        <w:t xml:space="preserve"> the EDE Partner from the Georgia Access </w:t>
      </w:r>
      <w:r w:rsidR="002677B2">
        <w:t>website</w:t>
      </w:r>
      <w:r>
        <w:t>.</w:t>
      </w:r>
    </w:p>
    <w:p w14:paraId="38F01AAA" w14:textId="1BCF9D13" w:rsidR="006C2F17" w:rsidRDefault="006C2F17" w:rsidP="008E39B8">
      <w:pPr>
        <w:pStyle w:val="ListParagraph"/>
        <w:numPr>
          <w:ilvl w:val="0"/>
          <w:numId w:val="25"/>
        </w:numPr>
        <w:spacing w:line="240" w:lineRule="auto"/>
      </w:pPr>
      <w:r>
        <w:t>Prohibit</w:t>
      </w:r>
      <w:r w:rsidR="005D3E85">
        <w:t>s</w:t>
      </w:r>
      <w:r>
        <w:t xml:space="preserve"> any new enrollment.</w:t>
      </w:r>
    </w:p>
    <w:p w14:paraId="108D641B" w14:textId="3A16912E" w:rsidR="00AD290E" w:rsidRPr="00AD290E" w:rsidRDefault="006C2F17" w:rsidP="008E39B8">
      <w:pPr>
        <w:pStyle w:val="ListParagraph"/>
        <w:numPr>
          <w:ilvl w:val="0"/>
          <w:numId w:val="25"/>
        </w:numPr>
        <w:spacing w:line="240" w:lineRule="auto"/>
      </w:pPr>
      <w:r>
        <w:t>Allow</w:t>
      </w:r>
      <w:r w:rsidR="005D3E85">
        <w:t>s</w:t>
      </w:r>
      <w:r>
        <w:t xml:space="preserve"> the EDE Partner to continue to serve its currently enrolled consumers.</w:t>
      </w:r>
    </w:p>
    <w:p w14:paraId="6BB6E9E6" w14:textId="72D70137" w:rsidR="008F5680" w:rsidRPr="005E1829" w:rsidRDefault="4E7DBA30" w:rsidP="00A53E91">
      <w:pPr>
        <w:pStyle w:val="Heading3"/>
        <w:spacing w:line="240" w:lineRule="auto"/>
      </w:pPr>
      <w:bookmarkStart w:id="90" w:name="_Decertification"/>
      <w:bookmarkStart w:id="91" w:name="_Toc209003059"/>
      <w:bookmarkEnd w:id="90"/>
      <w:r>
        <w:t>Decertification</w:t>
      </w:r>
      <w:bookmarkEnd w:id="91"/>
      <w:r w:rsidR="008F5680">
        <w:tab/>
      </w:r>
    </w:p>
    <w:p w14:paraId="6F7CF4F8" w14:textId="140D13AC" w:rsidR="007D4E45" w:rsidRDefault="007D4E45" w:rsidP="18F4D121">
      <w:pPr>
        <w:spacing w:line="240" w:lineRule="auto"/>
        <w:jc w:val="both"/>
      </w:pPr>
      <w:r>
        <w:t>In the event the suspended EDE Partner does not remedy the issue after being suspended, Georgia Access:</w:t>
      </w:r>
    </w:p>
    <w:p w14:paraId="27CEC169" w14:textId="7ADE1DA4" w:rsidR="007D4E45" w:rsidRDefault="007D4E45" w:rsidP="008E39B8">
      <w:pPr>
        <w:pStyle w:val="ListParagraph"/>
        <w:numPr>
          <w:ilvl w:val="0"/>
          <w:numId w:val="38"/>
        </w:numPr>
        <w:spacing w:line="240" w:lineRule="auto"/>
        <w:jc w:val="both"/>
      </w:pPr>
      <w:r>
        <w:t>Issue</w:t>
      </w:r>
      <w:r w:rsidR="00D16EB5">
        <w:t>s</w:t>
      </w:r>
      <w:r>
        <w:t xml:space="preserve"> a </w:t>
      </w:r>
      <w:r w:rsidRPr="18F4D121">
        <w:rPr>
          <w:i/>
          <w:iCs/>
        </w:rPr>
        <w:t>Final Warning Letter of Noncompliance</w:t>
      </w:r>
      <w:r>
        <w:t xml:space="preserve"> that includes a date for decertification from Georgia Access.</w:t>
      </w:r>
    </w:p>
    <w:p w14:paraId="41DEA19A" w14:textId="7D05148F" w:rsidR="007D4E45" w:rsidRDefault="007D4E45" w:rsidP="008E39B8">
      <w:pPr>
        <w:pStyle w:val="ListParagraph"/>
        <w:numPr>
          <w:ilvl w:val="0"/>
          <w:numId w:val="38"/>
        </w:numPr>
        <w:spacing w:line="240" w:lineRule="auto"/>
        <w:jc w:val="both"/>
      </w:pPr>
      <w:r>
        <w:t>Issue</w:t>
      </w:r>
      <w:r w:rsidR="00D16EB5">
        <w:t>s</w:t>
      </w:r>
      <w:r>
        <w:t xml:space="preserve"> a letter of decertification and permanently revoke access to </w:t>
      </w:r>
      <w:r w:rsidR="005316AD">
        <w:t>Georgia Access</w:t>
      </w:r>
      <w:r>
        <w:t xml:space="preserve"> APIs.</w:t>
      </w:r>
    </w:p>
    <w:p w14:paraId="14EA5D3A" w14:textId="609AA129" w:rsidR="007D4E45" w:rsidRDefault="007D4E45" w:rsidP="008E39B8">
      <w:pPr>
        <w:pStyle w:val="ListParagraph"/>
        <w:numPr>
          <w:ilvl w:val="0"/>
          <w:numId w:val="38"/>
        </w:numPr>
        <w:spacing w:line="240" w:lineRule="auto"/>
        <w:jc w:val="both"/>
      </w:pPr>
      <w:r>
        <w:t>Notif</w:t>
      </w:r>
      <w:r w:rsidR="00D16EB5">
        <w:t>ies</w:t>
      </w:r>
      <w:r>
        <w:t xml:space="preserve"> all Georgia consumers linked to the decertified EDE Partner of the change and instruct</w:t>
      </w:r>
      <w:r w:rsidR="00D16EB5">
        <w:t>s</w:t>
      </w:r>
      <w:r>
        <w:t xml:space="preserve"> them to make any updates/changes through another site. </w:t>
      </w:r>
    </w:p>
    <w:p w14:paraId="2621593B" w14:textId="598AE43D" w:rsidR="0021661F" w:rsidRPr="00995105" w:rsidRDefault="007D4E45" w:rsidP="18F4D121">
      <w:pPr>
        <w:spacing w:line="240" w:lineRule="auto"/>
        <w:jc w:val="both"/>
      </w:pPr>
      <w:r>
        <w:t xml:space="preserve">Decertified EDE Partners will not be prohibited from applying to participate in Georgia Access in future years but will be required to start the </w:t>
      </w:r>
      <w:r w:rsidR="00263E6F">
        <w:t xml:space="preserve">EDE Partner </w:t>
      </w:r>
      <w:r>
        <w:t>application process over again and demonstrate ability to meet requirements prior to certification.</w:t>
      </w:r>
    </w:p>
    <w:p w14:paraId="7AD4334E" w14:textId="21174D9C" w:rsidR="00362AEE" w:rsidRPr="008E35EA" w:rsidRDefault="00710174" w:rsidP="00A53E91">
      <w:pPr>
        <w:pStyle w:val="Heading1"/>
        <w:spacing w:before="240" w:line="240" w:lineRule="auto"/>
      </w:pPr>
      <w:bookmarkStart w:id="92" w:name="_Toc153964082"/>
      <w:bookmarkStart w:id="93" w:name="_Toc209003060"/>
      <w:bookmarkEnd w:id="40"/>
      <w:bookmarkEnd w:id="41"/>
      <w:r>
        <w:lastRenderedPageBreak/>
        <w:t xml:space="preserve">Insurance </w:t>
      </w:r>
      <w:r w:rsidR="005C5FF5">
        <w:t>C</w:t>
      </w:r>
      <w:r>
        <w:t>ompany</w:t>
      </w:r>
      <w:r w:rsidR="00362AEE">
        <w:t xml:space="preserve"> Policies</w:t>
      </w:r>
      <w:bookmarkEnd w:id="92"/>
      <w:bookmarkEnd w:id="93"/>
    </w:p>
    <w:p w14:paraId="04B3818A" w14:textId="3C617D0E" w:rsidR="00111D9B" w:rsidRDefault="005A23A7" w:rsidP="00A53E91">
      <w:pPr>
        <w:pStyle w:val="Heading2"/>
        <w:spacing w:line="240" w:lineRule="auto"/>
      </w:pPr>
      <w:bookmarkStart w:id="94" w:name="_Toc209003061"/>
      <w:bookmarkStart w:id="95" w:name="_Toc109659896"/>
      <w:bookmarkStart w:id="96" w:name="_Toc138950388"/>
      <w:r>
        <w:t>Role</w:t>
      </w:r>
      <w:r w:rsidR="000D5330">
        <w:t xml:space="preserve"> of </w:t>
      </w:r>
      <w:r w:rsidR="00DD6899">
        <w:t>Insurance Compan</w:t>
      </w:r>
      <w:r>
        <w:t>ies</w:t>
      </w:r>
      <w:r w:rsidR="000D5330">
        <w:t xml:space="preserve"> </w:t>
      </w:r>
      <w:r w:rsidR="00DD6899">
        <w:t>in Georgia Access</w:t>
      </w:r>
      <w:bookmarkEnd w:id="94"/>
    </w:p>
    <w:p w14:paraId="483ED520" w14:textId="087D11DD" w:rsidR="00073042" w:rsidRDefault="00011963" w:rsidP="18F4D121">
      <w:pPr>
        <w:spacing w:line="240" w:lineRule="auto"/>
        <w:jc w:val="both"/>
      </w:pPr>
      <w:r>
        <w:t xml:space="preserve">In Georgia Access, insurance companies </w:t>
      </w:r>
      <w:r w:rsidR="001C6A59">
        <w:t>play</w:t>
      </w:r>
      <w:r w:rsidR="005C0D00">
        <w:t xml:space="preserve"> a variety of </w:t>
      </w:r>
      <w:r w:rsidR="001C6A59">
        <w:t>roles</w:t>
      </w:r>
      <w:r w:rsidR="00CC7162">
        <w:t xml:space="preserve"> in relation to p</w:t>
      </w:r>
      <w:r w:rsidR="005C0D00">
        <w:t xml:space="preserve">lan </w:t>
      </w:r>
      <w:r w:rsidR="00CC7162">
        <w:t>m</w:t>
      </w:r>
      <w:r w:rsidR="005C0D00">
        <w:t xml:space="preserve">anagement, </w:t>
      </w:r>
      <w:r w:rsidR="00CC7162">
        <w:t>b</w:t>
      </w:r>
      <w:r w:rsidR="000D5330">
        <w:t>ack-</w:t>
      </w:r>
      <w:r w:rsidR="00CC7162">
        <w:t>e</w:t>
      </w:r>
      <w:r w:rsidR="000D5330">
        <w:t xml:space="preserve">nd </w:t>
      </w:r>
      <w:r w:rsidR="00526846">
        <w:t>e</w:t>
      </w:r>
      <w:r w:rsidR="000D5330">
        <w:t>nrollment</w:t>
      </w:r>
      <w:r w:rsidR="00526846">
        <w:t xml:space="preserve"> effectuation and reconciliation</w:t>
      </w:r>
      <w:r w:rsidR="00675B56">
        <w:t xml:space="preserve">, and </w:t>
      </w:r>
      <w:r w:rsidR="003B3226">
        <w:t>EDE processes</w:t>
      </w:r>
      <w:r w:rsidR="000D5330">
        <w:t xml:space="preserve">. </w:t>
      </w:r>
      <w:r w:rsidR="00073042">
        <w:t>Th</w:t>
      </w:r>
      <w:r w:rsidR="00B54A14">
        <w:t>e table below</w:t>
      </w:r>
      <w:r w:rsidR="00073042">
        <w:t xml:space="preserve"> provides a high</w:t>
      </w:r>
      <w:r w:rsidR="00770034">
        <w:t>-</w:t>
      </w:r>
      <w:r w:rsidR="00073042">
        <w:t xml:space="preserve">level overview </w:t>
      </w:r>
      <w:r w:rsidR="00770034">
        <w:t xml:space="preserve">of </w:t>
      </w:r>
      <w:r w:rsidR="00073042">
        <w:t>insurance compan</w:t>
      </w:r>
      <w:r w:rsidR="00B16B27">
        <w:t>y responsibilities related to each role</w:t>
      </w:r>
      <w:r w:rsidR="00DE778F">
        <w:t xml:space="preserve">, with additional details </w:t>
      </w:r>
      <w:r w:rsidR="009C3BBE">
        <w:t>in the subsequent sections.</w:t>
      </w:r>
      <w:r w:rsidR="00073042">
        <w:t xml:space="preserve"> </w:t>
      </w:r>
    </w:p>
    <w:tbl>
      <w:tblPr>
        <w:tblStyle w:val="TableGrid"/>
        <w:tblW w:w="5179" w:type="pct"/>
        <w:tblLook w:val="0420" w:firstRow="1" w:lastRow="0" w:firstColumn="0" w:lastColumn="0" w:noHBand="0" w:noVBand="1"/>
      </w:tblPr>
      <w:tblGrid>
        <w:gridCol w:w="1524"/>
        <w:gridCol w:w="4771"/>
        <w:gridCol w:w="3390"/>
      </w:tblGrid>
      <w:tr w:rsidR="00BA028D" w14:paraId="10381397" w14:textId="77777777" w:rsidTr="006710D4">
        <w:trPr>
          <w:trHeight w:val="490"/>
          <w:tblHeader/>
        </w:trPr>
        <w:tc>
          <w:tcPr>
            <w:tcW w:w="787" w:type="pct"/>
            <w:tcBorders>
              <w:top w:val="single" w:sz="4" w:space="0" w:color="auto"/>
              <w:left w:val="single" w:sz="4" w:space="0" w:color="auto"/>
              <w:bottom w:val="single" w:sz="4" w:space="0" w:color="auto"/>
              <w:right w:val="single" w:sz="4" w:space="0" w:color="auto"/>
            </w:tcBorders>
            <w:shd w:val="clear" w:color="auto" w:fill="096080"/>
            <w:vAlign w:val="center"/>
            <w:hideMark/>
          </w:tcPr>
          <w:p w14:paraId="57C11569" w14:textId="32D769E0" w:rsidR="009C3BBE" w:rsidRDefault="009C3BBE" w:rsidP="00A53E91">
            <w:pPr>
              <w:spacing w:before="80" w:after="80" w:line="240" w:lineRule="auto"/>
              <w:rPr>
                <w:rFonts w:cstheme="minorHAnsi"/>
                <w:b/>
                <w:color w:val="FFFFFF" w:themeColor="background1"/>
              </w:rPr>
            </w:pPr>
            <w:r>
              <w:rPr>
                <w:rFonts w:cstheme="minorHAnsi"/>
                <w:b/>
                <w:color w:val="FFFFFF" w:themeColor="background1"/>
              </w:rPr>
              <w:t>Role</w:t>
            </w:r>
          </w:p>
        </w:tc>
        <w:tc>
          <w:tcPr>
            <w:tcW w:w="2463" w:type="pct"/>
            <w:tcBorders>
              <w:top w:val="single" w:sz="4" w:space="0" w:color="auto"/>
              <w:left w:val="single" w:sz="4" w:space="0" w:color="auto"/>
              <w:bottom w:val="single" w:sz="4" w:space="0" w:color="auto"/>
              <w:right w:val="single" w:sz="4" w:space="0" w:color="auto"/>
            </w:tcBorders>
            <w:shd w:val="clear" w:color="auto" w:fill="096080"/>
          </w:tcPr>
          <w:p w14:paraId="109CED71" w14:textId="4CA2830A" w:rsidR="009C3BBE" w:rsidRPr="00453A92" w:rsidRDefault="007C38DE" w:rsidP="00A53E91">
            <w:pPr>
              <w:spacing w:before="80" w:after="80" w:line="240" w:lineRule="auto"/>
              <w:rPr>
                <w:rFonts w:cstheme="minorHAnsi"/>
                <w:b/>
                <w:color w:val="FFFFFF" w:themeColor="background1"/>
              </w:rPr>
            </w:pPr>
            <w:r>
              <w:rPr>
                <w:rFonts w:cstheme="minorHAnsi"/>
                <w:b/>
                <w:color w:val="FFFFFF" w:themeColor="background1"/>
              </w:rPr>
              <w:t>Description</w:t>
            </w:r>
          </w:p>
        </w:tc>
        <w:tc>
          <w:tcPr>
            <w:tcW w:w="1750" w:type="pct"/>
            <w:tcBorders>
              <w:top w:val="single" w:sz="4" w:space="0" w:color="auto"/>
              <w:left w:val="single" w:sz="4" w:space="0" w:color="auto"/>
              <w:bottom w:val="single" w:sz="4" w:space="0" w:color="auto"/>
              <w:right w:val="single" w:sz="4" w:space="0" w:color="auto"/>
            </w:tcBorders>
            <w:shd w:val="clear" w:color="auto" w:fill="096080"/>
            <w:vAlign w:val="center"/>
            <w:hideMark/>
          </w:tcPr>
          <w:p w14:paraId="255F54E2" w14:textId="704283E7" w:rsidR="009C3BBE" w:rsidRPr="00453A92" w:rsidRDefault="00244106" w:rsidP="00A53E91">
            <w:pPr>
              <w:spacing w:before="80" w:after="80" w:line="240" w:lineRule="auto"/>
              <w:rPr>
                <w:rFonts w:cstheme="minorHAnsi"/>
                <w:b/>
                <w:color w:val="FFFFFF" w:themeColor="background1"/>
              </w:rPr>
            </w:pPr>
            <w:r>
              <w:rPr>
                <w:rFonts w:cstheme="minorHAnsi"/>
                <w:b/>
                <w:color w:val="FFFFFF" w:themeColor="background1"/>
              </w:rPr>
              <w:t>Applicable Section</w:t>
            </w:r>
          </w:p>
        </w:tc>
      </w:tr>
      <w:tr w:rsidR="00BA028D" w14:paraId="5348D6D2" w14:textId="77777777" w:rsidTr="006710D4">
        <w:trPr>
          <w:trHeight w:val="793"/>
        </w:trPr>
        <w:tc>
          <w:tcPr>
            <w:tcW w:w="787" w:type="pct"/>
            <w:tcBorders>
              <w:top w:val="single" w:sz="4" w:space="0" w:color="auto"/>
              <w:left w:val="single" w:sz="4" w:space="0" w:color="auto"/>
              <w:bottom w:val="single" w:sz="4" w:space="0" w:color="auto"/>
              <w:right w:val="single" w:sz="4" w:space="0" w:color="auto"/>
            </w:tcBorders>
            <w:vAlign w:val="center"/>
            <w:hideMark/>
          </w:tcPr>
          <w:p w14:paraId="4AF1CF1C" w14:textId="0E604BC2" w:rsidR="009C3BBE" w:rsidRDefault="001862EF" w:rsidP="00A53E91">
            <w:pPr>
              <w:spacing w:before="80" w:after="80" w:line="240" w:lineRule="auto"/>
              <w:rPr>
                <w:rFonts w:cstheme="minorHAnsi"/>
              </w:rPr>
            </w:pPr>
            <w:r>
              <w:rPr>
                <w:rFonts w:cstheme="minorHAnsi"/>
              </w:rPr>
              <w:t>Plan Management</w:t>
            </w:r>
          </w:p>
        </w:tc>
        <w:tc>
          <w:tcPr>
            <w:tcW w:w="2463" w:type="pct"/>
            <w:tcBorders>
              <w:top w:val="single" w:sz="4" w:space="0" w:color="auto"/>
              <w:left w:val="single" w:sz="4" w:space="0" w:color="auto"/>
              <w:bottom w:val="single" w:sz="4" w:space="0" w:color="auto"/>
              <w:right w:val="single" w:sz="4" w:space="0" w:color="auto"/>
            </w:tcBorders>
          </w:tcPr>
          <w:p w14:paraId="1E2EECE8" w14:textId="035087F7" w:rsidR="009C3BBE" w:rsidRDefault="00244106" w:rsidP="00A53E91">
            <w:pPr>
              <w:spacing w:before="80" w:after="80" w:line="240" w:lineRule="auto"/>
            </w:pPr>
            <w:r>
              <w:t>Activities related to</w:t>
            </w:r>
            <w:r w:rsidR="00BF2656">
              <w:t xml:space="preserve"> QHP application and certification, post-certification dat</w:t>
            </w:r>
            <w:r w:rsidR="000A2E49">
              <w:t>a changes, and SERFF submission and data transfers.</w:t>
            </w:r>
          </w:p>
        </w:tc>
        <w:tc>
          <w:tcPr>
            <w:tcW w:w="1750" w:type="pct"/>
            <w:tcBorders>
              <w:top w:val="single" w:sz="4" w:space="0" w:color="auto"/>
              <w:left w:val="single" w:sz="4" w:space="0" w:color="auto"/>
              <w:bottom w:val="single" w:sz="4" w:space="0" w:color="auto"/>
              <w:right w:val="single" w:sz="4" w:space="0" w:color="auto"/>
            </w:tcBorders>
            <w:vAlign w:val="center"/>
          </w:tcPr>
          <w:p w14:paraId="39A32F6D" w14:textId="07FF8843" w:rsidR="009C3BBE" w:rsidRDefault="000A2E49" w:rsidP="00A53E91">
            <w:pPr>
              <w:spacing w:before="80" w:after="80" w:line="240" w:lineRule="auto"/>
              <w:rPr>
                <w:rFonts w:cstheme="minorHAnsi"/>
              </w:rPr>
            </w:pPr>
            <w:hyperlink w:anchor="_Plan_Management" w:history="1">
              <w:r w:rsidRPr="00F34EB6">
                <w:rPr>
                  <w:rStyle w:val="Hyperlink"/>
                  <w:rFonts w:cstheme="minorHAnsi"/>
                </w:rPr>
                <w:t>Section 3.2 Plan Management</w:t>
              </w:r>
            </w:hyperlink>
          </w:p>
        </w:tc>
      </w:tr>
      <w:tr w:rsidR="00BA028D" w14:paraId="49ADC34E" w14:textId="77777777" w:rsidTr="006710D4">
        <w:trPr>
          <w:trHeight w:val="260"/>
        </w:trPr>
        <w:tc>
          <w:tcPr>
            <w:tcW w:w="787" w:type="pct"/>
            <w:tcBorders>
              <w:top w:val="single" w:sz="4" w:space="0" w:color="auto"/>
              <w:left w:val="single" w:sz="4" w:space="0" w:color="auto"/>
              <w:bottom w:val="single" w:sz="4" w:space="0" w:color="auto"/>
              <w:right w:val="single" w:sz="4" w:space="0" w:color="auto"/>
            </w:tcBorders>
            <w:vAlign w:val="center"/>
            <w:hideMark/>
          </w:tcPr>
          <w:p w14:paraId="158D33F9" w14:textId="00BBF717" w:rsidR="009C3BBE" w:rsidRDefault="001862EF" w:rsidP="00A53E91">
            <w:pPr>
              <w:spacing w:before="80" w:after="80" w:line="240" w:lineRule="auto"/>
              <w:rPr>
                <w:rFonts w:cstheme="minorHAnsi"/>
              </w:rPr>
            </w:pPr>
            <w:r>
              <w:t>Enrollment Effectuation &amp; Reconciliation</w:t>
            </w:r>
          </w:p>
        </w:tc>
        <w:tc>
          <w:tcPr>
            <w:tcW w:w="2463" w:type="pct"/>
            <w:tcBorders>
              <w:top w:val="single" w:sz="4" w:space="0" w:color="auto"/>
              <w:left w:val="single" w:sz="4" w:space="0" w:color="auto"/>
              <w:bottom w:val="single" w:sz="4" w:space="0" w:color="auto"/>
              <w:right w:val="single" w:sz="4" w:space="0" w:color="auto"/>
            </w:tcBorders>
          </w:tcPr>
          <w:p w14:paraId="5805CE8A" w14:textId="0F50B54A" w:rsidR="009C3BBE" w:rsidRDefault="00244106" w:rsidP="00A53E91">
            <w:pPr>
              <w:spacing w:before="80" w:after="80" w:line="240" w:lineRule="auto"/>
            </w:pPr>
            <w:r>
              <w:t xml:space="preserve">Activities related to premium payment processing 834 transaction files, enrollment effectuation after plan selection, and periodic enrollment reconciliation. </w:t>
            </w:r>
          </w:p>
        </w:tc>
        <w:tc>
          <w:tcPr>
            <w:tcW w:w="1750" w:type="pct"/>
            <w:tcBorders>
              <w:top w:val="single" w:sz="4" w:space="0" w:color="auto"/>
              <w:left w:val="single" w:sz="4" w:space="0" w:color="auto"/>
              <w:bottom w:val="single" w:sz="4" w:space="0" w:color="auto"/>
              <w:right w:val="single" w:sz="4" w:space="0" w:color="auto"/>
            </w:tcBorders>
            <w:vAlign w:val="center"/>
          </w:tcPr>
          <w:p w14:paraId="650FA47B" w14:textId="068ACF3B" w:rsidR="009C3BBE" w:rsidRDefault="00244106" w:rsidP="00A53E91">
            <w:pPr>
              <w:spacing w:before="80" w:after="80" w:line="240" w:lineRule="auto"/>
              <w:rPr>
                <w:rFonts w:cstheme="minorHAnsi"/>
              </w:rPr>
            </w:pPr>
            <w:hyperlink w:anchor="_Enrollment_Effectuation_and" w:history="1">
              <w:r w:rsidRPr="00F34EB6">
                <w:rPr>
                  <w:rStyle w:val="Hyperlink"/>
                  <w:rFonts w:cstheme="minorHAnsi"/>
                </w:rPr>
                <w:t>Section 3.3 Enrollment Effectuation &amp; Reconciliation</w:t>
              </w:r>
            </w:hyperlink>
          </w:p>
        </w:tc>
      </w:tr>
      <w:tr w:rsidR="001862EF" w14:paraId="1DD50501" w14:textId="77777777" w:rsidTr="006710D4">
        <w:trPr>
          <w:trHeight w:val="60"/>
        </w:trPr>
        <w:tc>
          <w:tcPr>
            <w:tcW w:w="787" w:type="pct"/>
            <w:tcBorders>
              <w:top w:val="single" w:sz="4" w:space="0" w:color="auto"/>
              <w:left w:val="single" w:sz="4" w:space="0" w:color="auto"/>
              <w:bottom w:val="single" w:sz="4" w:space="0" w:color="auto"/>
              <w:right w:val="single" w:sz="4" w:space="0" w:color="auto"/>
            </w:tcBorders>
            <w:vAlign w:val="center"/>
          </w:tcPr>
          <w:p w14:paraId="589910DA" w14:textId="51E79915" w:rsidR="001862EF" w:rsidRDefault="001862EF" w:rsidP="00A53E91">
            <w:pPr>
              <w:spacing w:before="80" w:after="80" w:line="240" w:lineRule="auto"/>
            </w:pPr>
            <w:r>
              <w:t>EDE Partners</w:t>
            </w:r>
          </w:p>
        </w:tc>
        <w:tc>
          <w:tcPr>
            <w:tcW w:w="2463" w:type="pct"/>
            <w:tcBorders>
              <w:top w:val="single" w:sz="4" w:space="0" w:color="auto"/>
              <w:left w:val="single" w:sz="4" w:space="0" w:color="auto"/>
              <w:bottom w:val="single" w:sz="4" w:space="0" w:color="auto"/>
              <w:right w:val="single" w:sz="4" w:space="0" w:color="auto"/>
            </w:tcBorders>
          </w:tcPr>
          <w:p w14:paraId="03286A3E" w14:textId="38B2C63E" w:rsidR="001862EF" w:rsidRDefault="00244106" w:rsidP="00A53E91">
            <w:pPr>
              <w:spacing w:before="80" w:after="80" w:line="240" w:lineRule="auto"/>
            </w:pPr>
            <w:r>
              <w:t>Activities related to an insurance company’s role as an EDE Partner, facilitating enrollment in plans. Optional for insurance companies.</w:t>
            </w:r>
          </w:p>
        </w:tc>
        <w:tc>
          <w:tcPr>
            <w:tcW w:w="1750" w:type="pct"/>
            <w:tcBorders>
              <w:top w:val="single" w:sz="4" w:space="0" w:color="auto"/>
              <w:left w:val="single" w:sz="4" w:space="0" w:color="auto"/>
              <w:bottom w:val="single" w:sz="4" w:space="0" w:color="auto"/>
              <w:right w:val="single" w:sz="4" w:space="0" w:color="auto"/>
            </w:tcBorders>
            <w:vAlign w:val="center"/>
          </w:tcPr>
          <w:p w14:paraId="40808758" w14:textId="6A9C51F5" w:rsidR="001862EF" w:rsidRDefault="00244106" w:rsidP="00A53E91">
            <w:pPr>
              <w:spacing w:before="80" w:after="80" w:line="240" w:lineRule="auto"/>
              <w:rPr>
                <w:rFonts w:cstheme="minorHAnsi"/>
              </w:rPr>
            </w:pPr>
            <w:hyperlink w:anchor="_EDE_Partner_Policies" w:history="1">
              <w:r w:rsidRPr="000E588F">
                <w:rPr>
                  <w:rStyle w:val="Hyperlink"/>
                  <w:rFonts w:cstheme="minorHAnsi"/>
                </w:rPr>
                <w:t>Section 2 EDE Partner Policies</w:t>
              </w:r>
            </w:hyperlink>
          </w:p>
        </w:tc>
      </w:tr>
    </w:tbl>
    <w:p w14:paraId="092853AE" w14:textId="77777777" w:rsidR="009C3BBE" w:rsidRDefault="009C3BBE" w:rsidP="00A53E91">
      <w:pPr>
        <w:spacing w:line="240" w:lineRule="auto"/>
      </w:pPr>
    </w:p>
    <w:p w14:paraId="39C1306C" w14:textId="08A39FC8" w:rsidR="00362AEE" w:rsidRDefault="2B3765A1" w:rsidP="00A53E91">
      <w:pPr>
        <w:pStyle w:val="Heading2"/>
        <w:spacing w:line="240" w:lineRule="auto"/>
      </w:pPr>
      <w:bookmarkStart w:id="97" w:name="_Plan_Management"/>
      <w:bookmarkStart w:id="98" w:name="_Toc209003062"/>
      <w:bookmarkEnd w:id="97"/>
      <w:r>
        <w:t>Plan Management</w:t>
      </w:r>
      <w:bookmarkEnd w:id="98"/>
    </w:p>
    <w:p w14:paraId="63DC8F7D" w14:textId="7E489CF5" w:rsidR="00B95E4E" w:rsidRPr="00B95E4E" w:rsidRDefault="00E022EE" w:rsidP="18F4D121">
      <w:pPr>
        <w:spacing w:line="240" w:lineRule="auto"/>
        <w:jc w:val="both"/>
      </w:pPr>
      <w:r>
        <w:t>As an SBE, Georgia Access is responsible for plan management function</w:t>
      </w:r>
      <w:r w:rsidR="00786B3A">
        <w:t>s</w:t>
      </w:r>
      <w:r w:rsidR="00A62FB9">
        <w:t xml:space="preserve">. Plan management </w:t>
      </w:r>
      <w:r w:rsidR="00B95E4E">
        <w:t xml:space="preserve">is the process of evaluating health plans to certify that they meet minimum standards, provide essential coverage, and maintain compliance to be sold on the Exchange. </w:t>
      </w:r>
    </w:p>
    <w:p w14:paraId="42C74514" w14:textId="1F79A8EC" w:rsidR="00E86D33" w:rsidRPr="00E86D33" w:rsidRDefault="00BA5623" w:rsidP="18F4D121">
      <w:pPr>
        <w:spacing w:line="240" w:lineRule="auto"/>
        <w:jc w:val="both"/>
      </w:pPr>
      <w:r>
        <w:t>The plan management functions that Georgia Access manages are outlined in th</w:t>
      </w:r>
      <w:r w:rsidR="00EA2270">
        <w:t xml:space="preserve">e following sections. </w:t>
      </w:r>
      <w:r w:rsidR="00E25A4E">
        <w:t>These sections apply to both QHP and SADP insurance companies.</w:t>
      </w:r>
    </w:p>
    <w:p w14:paraId="5C9948AD" w14:textId="6EF047AA" w:rsidR="00DE0AC6" w:rsidRDefault="00E454B2" w:rsidP="00A53E91">
      <w:pPr>
        <w:pStyle w:val="Heading3"/>
        <w:spacing w:line="240" w:lineRule="auto"/>
      </w:pPr>
      <w:bookmarkStart w:id="99" w:name="_Toc209003063"/>
      <w:r>
        <w:t>QHP Certification Preparation</w:t>
      </w:r>
      <w:bookmarkEnd w:id="99"/>
    </w:p>
    <w:p w14:paraId="7FC4A1D9" w14:textId="04FFFDAE" w:rsidR="00341379" w:rsidRDefault="005E584E" w:rsidP="18F4D121">
      <w:pPr>
        <w:spacing w:line="240" w:lineRule="auto"/>
        <w:jc w:val="both"/>
      </w:pPr>
      <w:r>
        <w:t>Georgia Access, in coordination with OCI’s Product Review Division, conduct</w:t>
      </w:r>
      <w:r w:rsidR="00F40F7E">
        <w:t>s</w:t>
      </w:r>
      <w:r>
        <w:t xml:space="preserve"> several activities in preparation for the annual QHP certification period. </w:t>
      </w:r>
      <w:r w:rsidR="00C23FB2">
        <w:t xml:space="preserve">Georgia Access </w:t>
      </w:r>
      <w:r w:rsidR="00EB01E5">
        <w:t>release</w:t>
      </w:r>
      <w:r w:rsidR="000D3B0D">
        <w:t>s</w:t>
      </w:r>
      <w:r w:rsidR="00341379">
        <w:t xml:space="preserve"> </w:t>
      </w:r>
      <w:r w:rsidR="004D7664">
        <w:t xml:space="preserve">the </w:t>
      </w:r>
      <w:r w:rsidR="004D7664" w:rsidRPr="18F4D121">
        <w:rPr>
          <w:i/>
          <w:iCs/>
        </w:rPr>
        <w:t xml:space="preserve">QHP </w:t>
      </w:r>
      <w:r w:rsidR="00D473B9" w:rsidRPr="18F4D121">
        <w:rPr>
          <w:i/>
          <w:iCs/>
        </w:rPr>
        <w:t>Application Instructions for Issuers</w:t>
      </w:r>
      <w:r w:rsidR="00D473B9">
        <w:t xml:space="preserve"> </w:t>
      </w:r>
      <w:r w:rsidR="004D7664">
        <w:t xml:space="preserve">annually to outline the submission timeline, certification criteria, and submission instructions. The </w:t>
      </w:r>
      <w:r w:rsidR="004D7664" w:rsidRPr="18F4D121">
        <w:rPr>
          <w:i/>
          <w:iCs/>
        </w:rPr>
        <w:t xml:space="preserve">QHP </w:t>
      </w:r>
      <w:r w:rsidR="00806EC1" w:rsidRPr="18F4D121">
        <w:rPr>
          <w:i/>
          <w:iCs/>
        </w:rPr>
        <w:t>Application Instructions for I</w:t>
      </w:r>
      <w:r w:rsidR="004D7664" w:rsidRPr="18F4D121">
        <w:rPr>
          <w:i/>
          <w:iCs/>
        </w:rPr>
        <w:t>ssuer</w:t>
      </w:r>
      <w:r w:rsidR="4E8B2544" w:rsidRPr="18F4D121">
        <w:rPr>
          <w:i/>
          <w:iCs/>
        </w:rPr>
        <w:t>s</w:t>
      </w:r>
      <w:r w:rsidR="004D7664">
        <w:t xml:space="preserve"> are posted to the Georgia Access </w:t>
      </w:r>
      <w:r w:rsidR="002677B2">
        <w:t>website</w:t>
      </w:r>
      <w:r w:rsidR="004D7664">
        <w:t xml:space="preserve"> and the System for Electronic Rates &amp; Forms Filing (SERFF).</w:t>
      </w:r>
    </w:p>
    <w:p w14:paraId="28DF7FBD" w14:textId="15FB1F9E" w:rsidR="00341379" w:rsidRDefault="00710174" w:rsidP="18F4D121">
      <w:pPr>
        <w:spacing w:line="240" w:lineRule="auto"/>
        <w:jc w:val="both"/>
      </w:pPr>
      <w:r>
        <w:t>Insurance companies</w:t>
      </w:r>
      <w:r w:rsidR="005E584E">
        <w:t xml:space="preserve"> </w:t>
      </w:r>
      <w:r w:rsidR="00341379">
        <w:t>submit their completed</w:t>
      </w:r>
      <w:r w:rsidR="00AE3C4E">
        <w:t xml:space="preserve"> QHP</w:t>
      </w:r>
      <w:r w:rsidR="00341379">
        <w:t xml:space="preserve"> application materials annually </w:t>
      </w:r>
      <w:r w:rsidR="00097CF4">
        <w:t xml:space="preserve">via SERFF </w:t>
      </w:r>
      <w:r w:rsidR="00F14D9B">
        <w:t>based on the timeline and certification criteria developed</w:t>
      </w:r>
      <w:r w:rsidR="00097CF4">
        <w:t>.</w:t>
      </w:r>
    </w:p>
    <w:p w14:paraId="061D5772" w14:textId="08CCAB76" w:rsidR="00ED577A" w:rsidRDefault="00ED577A" w:rsidP="00A53E91">
      <w:pPr>
        <w:pStyle w:val="Heading3"/>
        <w:spacing w:line="240" w:lineRule="auto"/>
      </w:pPr>
      <w:bookmarkStart w:id="100" w:name="_Toc209003064"/>
      <w:r>
        <w:t>QHP Application Timeline</w:t>
      </w:r>
      <w:bookmarkEnd w:id="100"/>
    </w:p>
    <w:p w14:paraId="0E83D833" w14:textId="717CE6F6" w:rsidR="00A35AF4" w:rsidRPr="007814E7" w:rsidRDefault="00E17B4A" w:rsidP="00A53E91">
      <w:pPr>
        <w:spacing w:after="0" w:line="240" w:lineRule="auto"/>
        <w:rPr>
          <w:rStyle w:val="SubtleReference"/>
          <w:rFonts w:ascii="Arial" w:eastAsiaTheme="majorEastAsia" w:hAnsi="Arial" w:cstheme="majorBidi"/>
          <w:szCs w:val="24"/>
        </w:rPr>
      </w:pPr>
      <w:r>
        <w:rPr>
          <w:rStyle w:val="SubtleReference"/>
        </w:rPr>
        <w:t>A</w:t>
      </w:r>
      <w:r w:rsidR="00A35AF4" w:rsidRPr="007814E7">
        <w:rPr>
          <w:rStyle w:val="SubtleReference"/>
        </w:rPr>
        <w:t>ssociated federal regulation: 45 CFR 155.1010</w:t>
      </w:r>
    </w:p>
    <w:p w14:paraId="7A2766D6" w14:textId="2EA205BA" w:rsidR="000A6C3C" w:rsidRPr="00A35AF4" w:rsidRDefault="00A35AF4" w:rsidP="18F4D121">
      <w:pPr>
        <w:spacing w:line="240" w:lineRule="auto"/>
        <w:jc w:val="both"/>
        <w:rPr>
          <w:i/>
          <w:iCs/>
          <w:sz w:val="20"/>
          <w:szCs w:val="20"/>
        </w:rPr>
      </w:pPr>
      <w:r>
        <w:t xml:space="preserve">Georgia Access has the authority to set </w:t>
      </w:r>
      <w:r w:rsidR="155DDDC2">
        <w:t>its</w:t>
      </w:r>
      <w:r>
        <w:t xml:space="preserve"> own QHP application timeline </w:t>
      </w:r>
      <w:r w:rsidR="00BB7DB1">
        <w:t>each plan year</w:t>
      </w:r>
      <w:r>
        <w:t>.</w:t>
      </w:r>
      <w:r w:rsidR="00BB7DB1">
        <w:t xml:space="preserve"> This timeline is published in the annual </w:t>
      </w:r>
      <w:r w:rsidR="00BB7DB1" w:rsidRPr="18F4D121">
        <w:rPr>
          <w:i/>
          <w:iCs/>
        </w:rPr>
        <w:t xml:space="preserve">QHP </w:t>
      </w:r>
      <w:r w:rsidR="00D473B9" w:rsidRPr="18F4D121">
        <w:rPr>
          <w:i/>
          <w:iCs/>
        </w:rPr>
        <w:t>Application Instructions for Issuers</w:t>
      </w:r>
      <w:r w:rsidR="00BB7DB1">
        <w:t>.</w:t>
      </w:r>
    </w:p>
    <w:p w14:paraId="0EE8E6EC" w14:textId="1FB70FF2" w:rsidR="00ED577A" w:rsidRDefault="00ED577A" w:rsidP="00A53E91">
      <w:pPr>
        <w:pStyle w:val="Heading3"/>
        <w:spacing w:line="240" w:lineRule="auto"/>
      </w:pPr>
      <w:bookmarkStart w:id="101" w:name="_Toc209003065"/>
      <w:r>
        <w:t>QHP Certification Criteria Development</w:t>
      </w:r>
      <w:bookmarkEnd w:id="101"/>
    </w:p>
    <w:p w14:paraId="3220768C" w14:textId="5DD6A466" w:rsidR="00DF7672" w:rsidRPr="007814E7" w:rsidRDefault="00E17B4A" w:rsidP="00A53E91">
      <w:pPr>
        <w:spacing w:after="0" w:line="240" w:lineRule="auto"/>
        <w:rPr>
          <w:rStyle w:val="SubtleReference"/>
          <w:rFonts w:ascii="Arial" w:eastAsiaTheme="majorEastAsia" w:hAnsi="Arial" w:cstheme="majorBidi"/>
          <w:szCs w:val="24"/>
        </w:rPr>
      </w:pPr>
      <w:r>
        <w:rPr>
          <w:rStyle w:val="SubtleReference"/>
        </w:rPr>
        <w:t>A</w:t>
      </w:r>
      <w:r w:rsidR="00DF7672" w:rsidRPr="007814E7">
        <w:rPr>
          <w:rStyle w:val="SubtleReference"/>
        </w:rPr>
        <w:t>ssociated federal regulation: 45 CFR 155.1000</w:t>
      </w:r>
    </w:p>
    <w:p w14:paraId="2305C620" w14:textId="389BD8B2" w:rsidR="00A35AF4" w:rsidRPr="00A35AF4" w:rsidRDefault="00DF7672" w:rsidP="18F4D121">
      <w:pPr>
        <w:spacing w:line="240" w:lineRule="auto"/>
        <w:jc w:val="both"/>
      </w:pPr>
      <w:r>
        <w:t>Georgia Access has the authority to set its own certification criteria</w:t>
      </w:r>
      <w:r w:rsidR="00534345">
        <w:t xml:space="preserve"> each plan year</w:t>
      </w:r>
      <w:r>
        <w:t xml:space="preserve">, </w:t>
      </w:r>
      <w:proofErr w:type="gramStart"/>
      <w:r>
        <w:t>as long as</w:t>
      </w:r>
      <w:proofErr w:type="gramEnd"/>
      <w:r>
        <w:t xml:space="preserve"> the</w:t>
      </w:r>
      <w:r w:rsidR="00534345">
        <w:t xml:space="preserve"> requirements </w:t>
      </w:r>
      <w:r>
        <w:t>comply with the minimum protections afforded in the ACA</w:t>
      </w:r>
      <w:r w:rsidR="00BB7DB1">
        <w:t xml:space="preserve"> and other federal requirements</w:t>
      </w:r>
      <w:r w:rsidR="00B82F00">
        <w:t>.</w:t>
      </w:r>
      <w:r>
        <w:t xml:space="preserve"> </w:t>
      </w:r>
      <w:r w:rsidR="00D473B9">
        <w:lastRenderedPageBreak/>
        <w:t xml:space="preserve">Georgia Access publishes certification criteria </w:t>
      </w:r>
      <w:r w:rsidR="00880A0D">
        <w:t xml:space="preserve">and the associated review areas </w:t>
      </w:r>
      <w:r w:rsidR="00D473B9">
        <w:t xml:space="preserve">in the annual </w:t>
      </w:r>
      <w:r w:rsidR="00D473B9" w:rsidRPr="18F4D121">
        <w:rPr>
          <w:i/>
          <w:iCs/>
        </w:rPr>
        <w:t>QHP Application Instructions for Issuers</w:t>
      </w:r>
      <w:r w:rsidR="00D473B9">
        <w:t>.</w:t>
      </w:r>
    </w:p>
    <w:p w14:paraId="0254025A" w14:textId="19ACD16E" w:rsidR="00ED577A" w:rsidRDefault="00ED577A" w:rsidP="00A53E91">
      <w:pPr>
        <w:pStyle w:val="Heading3"/>
        <w:spacing w:line="240" w:lineRule="auto"/>
      </w:pPr>
      <w:bookmarkStart w:id="102" w:name="_Toc209003066"/>
      <w:r>
        <w:t>Required Application Materials</w:t>
      </w:r>
      <w:bookmarkEnd w:id="102"/>
    </w:p>
    <w:p w14:paraId="634991D5" w14:textId="68C278B3" w:rsidR="00853B87" w:rsidRPr="00853B87" w:rsidRDefault="00E17B4A" w:rsidP="00A53E91">
      <w:pPr>
        <w:spacing w:after="0" w:line="240" w:lineRule="auto"/>
        <w:rPr>
          <w:smallCaps/>
          <w:color w:val="5A5A5A" w:themeColor="text1" w:themeTint="A5"/>
        </w:rPr>
      </w:pPr>
      <w:r>
        <w:rPr>
          <w:smallCaps/>
          <w:color w:val="5A5A5A" w:themeColor="text1" w:themeTint="A5"/>
        </w:rPr>
        <w:t>A</w:t>
      </w:r>
      <w:r w:rsidR="00853B87" w:rsidRPr="00853B87">
        <w:rPr>
          <w:smallCaps/>
          <w:color w:val="5A5A5A" w:themeColor="text1" w:themeTint="A5"/>
        </w:rPr>
        <w:t>ssociated federal regulation: 45 CFR 155.1010</w:t>
      </w:r>
    </w:p>
    <w:p w14:paraId="38B79202" w14:textId="50AADE3A" w:rsidR="00116C5F" w:rsidRPr="00853B87" w:rsidRDefault="00B61B87" w:rsidP="18F4D121">
      <w:pPr>
        <w:spacing w:line="240" w:lineRule="auto"/>
        <w:jc w:val="both"/>
      </w:pPr>
      <w:r>
        <w:t>Georgia Access has the authority to</w:t>
      </w:r>
      <w:r w:rsidR="00853B87" w:rsidRPr="00853B87">
        <w:t xml:space="preserve"> develop </w:t>
      </w:r>
      <w:r w:rsidR="7DCA734D" w:rsidRPr="00853B87">
        <w:t>its</w:t>
      </w:r>
      <w:r w:rsidR="00853B87" w:rsidRPr="00853B87">
        <w:t xml:space="preserve"> own QHP application materials, use </w:t>
      </w:r>
      <w:r w:rsidR="00242867">
        <w:t>materials</w:t>
      </w:r>
      <w:r w:rsidR="00242867" w:rsidRPr="00853B87">
        <w:t xml:space="preserve"> </w:t>
      </w:r>
      <w:r w:rsidR="00853B87" w:rsidRPr="00853B87">
        <w:t xml:space="preserve">developed by CCIIO, or </w:t>
      </w:r>
      <w:r w:rsidR="00242867">
        <w:t xml:space="preserve">use </w:t>
      </w:r>
      <w:r w:rsidR="00853B87" w:rsidRPr="00853B87">
        <w:t xml:space="preserve">a combination of both. </w:t>
      </w:r>
      <w:r>
        <w:t>Georgia Access</w:t>
      </w:r>
      <w:r w:rsidR="00853B87" w:rsidRPr="00853B87">
        <w:t xml:space="preserve"> leverages the </w:t>
      </w:r>
      <w:r w:rsidR="00853B87" w:rsidRPr="18F4D121">
        <w:rPr>
          <w:i/>
          <w:iCs/>
        </w:rPr>
        <w:t>QHP Application Templates</w:t>
      </w:r>
      <w:r w:rsidR="00853B87" w:rsidRPr="00853B87">
        <w:t xml:space="preserve"> and several of the supplemental forms released by CCIIO annually</w:t>
      </w:r>
      <w:r w:rsidR="00853B87" w:rsidRPr="00853B87">
        <w:rPr>
          <w:vertAlign w:val="superscript"/>
        </w:rPr>
        <w:footnoteReference w:id="3"/>
      </w:r>
      <w:r w:rsidR="00853B87" w:rsidRPr="00853B87">
        <w:t xml:space="preserve"> to collect the majority of QHP application data from </w:t>
      </w:r>
      <w:r w:rsidR="00710174">
        <w:t>insurance companies</w:t>
      </w:r>
      <w:r w:rsidR="00853B87" w:rsidRPr="00853B87">
        <w:t>. Multiple versions of each template may need to be submitted</w:t>
      </w:r>
      <w:r w:rsidR="00A339EC">
        <w:t xml:space="preserve"> </w:t>
      </w:r>
      <w:r w:rsidR="00853B87" w:rsidRPr="00853B87">
        <w:t xml:space="preserve">depending on the </w:t>
      </w:r>
      <w:r w:rsidR="00710174">
        <w:t>insurance company</w:t>
      </w:r>
      <w:r w:rsidR="00853B87" w:rsidRPr="00853B87">
        <w:t>’s plan designs (</w:t>
      </w:r>
      <w:r w:rsidR="00116C5F">
        <w:t xml:space="preserve">e.g., </w:t>
      </w:r>
      <w:r w:rsidR="00853B87" w:rsidRPr="00853B87">
        <w:t xml:space="preserve">medical/dental, individual/SHOP). </w:t>
      </w:r>
    </w:p>
    <w:p w14:paraId="15D38416" w14:textId="6B59DCE7" w:rsidR="00853B87" w:rsidRPr="00853B87" w:rsidRDefault="00116C5F" w:rsidP="18F4D121">
      <w:pPr>
        <w:spacing w:line="240" w:lineRule="auto"/>
        <w:jc w:val="both"/>
      </w:pPr>
      <w:r>
        <w:t xml:space="preserve">Georgia Access publishes the </w:t>
      </w:r>
      <w:r w:rsidR="00853B87">
        <w:t xml:space="preserve">list of application materials required for </w:t>
      </w:r>
      <w:r w:rsidR="00710174">
        <w:t>insurance companies</w:t>
      </w:r>
      <w:r w:rsidR="00853B87">
        <w:t xml:space="preserve"> to submit i</w:t>
      </w:r>
      <w:r>
        <w:t xml:space="preserve">n the annual </w:t>
      </w:r>
      <w:r w:rsidRPr="18F4D121">
        <w:rPr>
          <w:i/>
          <w:iCs/>
        </w:rPr>
        <w:t>QHP Application Instructions for Issuers</w:t>
      </w:r>
      <w:r w:rsidR="00853B87">
        <w:t>.</w:t>
      </w:r>
    </w:p>
    <w:p w14:paraId="74CBFAF2" w14:textId="40CE903E" w:rsidR="00D4004C" w:rsidRDefault="00E454B2" w:rsidP="00A53E91">
      <w:pPr>
        <w:pStyle w:val="Heading3"/>
        <w:spacing w:line="240" w:lineRule="auto"/>
      </w:pPr>
      <w:bookmarkStart w:id="103" w:name="_Toc209003067"/>
      <w:r>
        <w:t>QHP Application Submission and Review</w:t>
      </w:r>
      <w:r w:rsidR="005F2331">
        <w:t>s</w:t>
      </w:r>
      <w:bookmarkEnd w:id="103"/>
    </w:p>
    <w:p w14:paraId="0E47E3E5" w14:textId="3117B93A" w:rsidR="00740414" w:rsidRPr="00740414" w:rsidRDefault="00740414" w:rsidP="18F4D121">
      <w:pPr>
        <w:spacing w:line="240" w:lineRule="auto"/>
        <w:jc w:val="both"/>
      </w:pPr>
      <w:r>
        <w:t xml:space="preserve">All </w:t>
      </w:r>
      <w:r w:rsidR="00710174">
        <w:t>insurance companies</w:t>
      </w:r>
      <w:r>
        <w:t xml:space="preserve"> must demonstrate that their plans comply with the certification criteria set </w:t>
      </w:r>
      <w:r w:rsidR="00B5550E">
        <w:t xml:space="preserve">annually </w:t>
      </w:r>
      <w:r>
        <w:t xml:space="preserve">by Georgia Access, regardless of whether the plans were previously certified. </w:t>
      </w:r>
      <w:r w:rsidR="009C20D2">
        <w:t xml:space="preserve">Georgia Access, in coordination with OCI’s Product Review Division, </w:t>
      </w:r>
      <w:r>
        <w:t>begin</w:t>
      </w:r>
      <w:r w:rsidR="009C20D2">
        <w:t>s</w:t>
      </w:r>
      <w:r>
        <w:t xml:space="preserve"> reviewing QHP application data against the established QHP certification criteria as soon as materials are submitted and no later than the day after the State’s initial submission deadline.</w:t>
      </w:r>
    </w:p>
    <w:p w14:paraId="1C140FB1" w14:textId="354B73A8" w:rsidR="005F3B90" w:rsidRDefault="005F2331" w:rsidP="00A53E91">
      <w:pPr>
        <w:pStyle w:val="Heading4"/>
        <w:spacing w:line="240" w:lineRule="auto"/>
      </w:pPr>
      <w:r>
        <w:t>Application Submission System</w:t>
      </w:r>
    </w:p>
    <w:p w14:paraId="08FBEFBE" w14:textId="6C6FC3ED" w:rsidR="001A48EA" w:rsidRDefault="00710174" w:rsidP="18F4D121">
      <w:pPr>
        <w:spacing w:line="240" w:lineRule="auto"/>
        <w:jc w:val="both"/>
      </w:pPr>
      <w:r>
        <w:t>Insurance companies</w:t>
      </w:r>
      <w:r w:rsidR="00A95401">
        <w:t xml:space="preserve"> submit their QHP applications via SERFF</w:t>
      </w:r>
      <w:r w:rsidR="009C20D2">
        <w:t xml:space="preserve">; SERFF </w:t>
      </w:r>
      <w:r w:rsidR="00A95401">
        <w:t xml:space="preserve">is configured to collect a standard set of CCIIO templates, and its functionality is customizable for each State based on their application requirements. The Georgia Access </w:t>
      </w:r>
      <w:r w:rsidR="002D7812">
        <w:t>Portal</w:t>
      </w:r>
      <w:r w:rsidR="00897700">
        <w:t xml:space="preserve"> </w:t>
      </w:r>
      <w:proofErr w:type="gramStart"/>
      <w:r w:rsidR="002D7812">
        <w:t>is</w:t>
      </w:r>
      <w:r w:rsidR="00897700">
        <w:t xml:space="preserve"> connected</w:t>
      </w:r>
      <w:r w:rsidR="00A95401">
        <w:t xml:space="preserve"> with</w:t>
      </w:r>
      <w:proofErr w:type="gramEnd"/>
      <w:r w:rsidR="00A95401">
        <w:t xml:space="preserve"> SERFF to receive and manage approved QHP application data for plan display. </w:t>
      </w:r>
    </w:p>
    <w:p w14:paraId="7600F5F0" w14:textId="488078F2" w:rsidR="005F2331" w:rsidRDefault="005F2331" w:rsidP="00A53E91">
      <w:pPr>
        <w:pStyle w:val="Heading4"/>
        <w:spacing w:line="240" w:lineRule="auto"/>
      </w:pPr>
      <w:r>
        <w:t>QHP Application Reviews</w:t>
      </w:r>
    </w:p>
    <w:p w14:paraId="2C4BF39D" w14:textId="31A4B66D" w:rsidR="000F5311" w:rsidRPr="00E10F88" w:rsidRDefault="00E17B4A" w:rsidP="00A53E91">
      <w:pPr>
        <w:spacing w:after="0" w:line="240" w:lineRule="auto"/>
        <w:rPr>
          <w:rStyle w:val="SubtleReference"/>
          <w:rFonts w:ascii="Arial" w:eastAsiaTheme="majorEastAsia" w:hAnsi="Arial" w:cstheme="majorBidi"/>
          <w:szCs w:val="24"/>
        </w:rPr>
      </w:pPr>
      <w:r>
        <w:rPr>
          <w:rStyle w:val="SubtleReference"/>
        </w:rPr>
        <w:t>A</w:t>
      </w:r>
      <w:r w:rsidR="000F5311" w:rsidRPr="00E10F88">
        <w:rPr>
          <w:rStyle w:val="SubtleReference"/>
        </w:rPr>
        <w:t>ssociated federal regulation: 45 CFR 155.1000</w:t>
      </w:r>
    </w:p>
    <w:p w14:paraId="0177F30A" w14:textId="371D7296" w:rsidR="000F5311" w:rsidRPr="007E1F27" w:rsidRDefault="003A3865" w:rsidP="18F4D121">
      <w:pPr>
        <w:spacing w:line="240" w:lineRule="auto"/>
        <w:jc w:val="both"/>
      </w:pPr>
      <w:r>
        <w:t>Georgia Access</w:t>
      </w:r>
      <w:r w:rsidR="000F5311">
        <w:t xml:space="preserve"> </w:t>
      </w:r>
      <w:r w:rsidR="000E3822">
        <w:t xml:space="preserve">shares QHP review responsibility with OCI’s Product Review Division. </w:t>
      </w:r>
      <w:r w:rsidR="000F5311">
        <w:t>The Product Review Division also conducts rate reviews and approves all rate-related application components and the associated forms.</w:t>
      </w:r>
      <w:bookmarkStart w:id="104" w:name="_Hlk77326392"/>
      <w:r w:rsidR="00900FBF">
        <w:t xml:space="preserve"> </w:t>
      </w:r>
      <w:r w:rsidR="00880A0D">
        <w:t xml:space="preserve">Georgia Access leverages the review tools that CMS publishes to conduct reviews where possible. Georgia Access communicates needed application corrections to insurance companies throughout the application process. Insurance companies must be responsive to these communications and correct their applications before the State’s final application submission deadline. </w:t>
      </w:r>
    </w:p>
    <w:p w14:paraId="1C633F5D" w14:textId="53E77591" w:rsidR="00414151" w:rsidRPr="00414151" w:rsidRDefault="00DE0AC6" w:rsidP="00A53E91">
      <w:pPr>
        <w:pStyle w:val="Heading3"/>
        <w:spacing w:line="240" w:lineRule="auto"/>
      </w:pPr>
      <w:bookmarkStart w:id="105" w:name="_Toc209003068"/>
      <w:bookmarkEnd w:id="104"/>
      <w:r>
        <w:t>QHP Certification &amp; Plan Data Finalization</w:t>
      </w:r>
      <w:bookmarkEnd w:id="105"/>
    </w:p>
    <w:p w14:paraId="28E59962" w14:textId="6D8452C6" w:rsidR="00832DA0" w:rsidRDefault="00B64501" w:rsidP="00A53E91">
      <w:pPr>
        <w:pStyle w:val="Heading4"/>
        <w:spacing w:line="240" w:lineRule="auto"/>
      </w:pPr>
      <w:bookmarkStart w:id="106" w:name="_Plan_Certification_Decisions"/>
      <w:bookmarkEnd w:id="106"/>
      <w:r>
        <w:t>Plan Certification Decisions</w:t>
      </w:r>
    </w:p>
    <w:p w14:paraId="157C0DF3" w14:textId="78128BAB" w:rsidR="00FF61AC" w:rsidRPr="00C0153E" w:rsidRDefault="00E17B4A" w:rsidP="00A53E91">
      <w:pPr>
        <w:spacing w:after="0" w:line="240" w:lineRule="auto"/>
        <w:rPr>
          <w:rStyle w:val="SubtleReference"/>
          <w:rFonts w:ascii="Arial" w:eastAsiaTheme="majorEastAsia" w:hAnsi="Arial" w:cstheme="majorBidi"/>
          <w:szCs w:val="24"/>
        </w:rPr>
      </w:pPr>
      <w:r>
        <w:rPr>
          <w:rStyle w:val="SubtleReference"/>
        </w:rPr>
        <w:t>A</w:t>
      </w:r>
      <w:r w:rsidR="00FF61AC" w:rsidRPr="00C0153E">
        <w:rPr>
          <w:rStyle w:val="SubtleReference"/>
        </w:rPr>
        <w:t>ssociated federal regulation: 45 CFR 155.1000</w:t>
      </w:r>
    </w:p>
    <w:p w14:paraId="67534A65" w14:textId="41165559" w:rsidR="00FF61AC" w:rsidRPr="007E1F27" w:rsidRDefault="005A0239" w:rsidP="18F4D121">
      <w:pPr>
        <w:spacing w:line="240" w:lineRule="auto"/>
        <w:jc w:val="both"/>
      </w:pPr>
      <w:r>
        <w:t>Georgia Access sends Certification Notices</w:t>
      </w:r>
      <w:r w:rsidR="006F06E0">
        <w:t xml:space="preserve"> containing plan certification decisions</w:t>
      </w:r>
      <w:r>
        <w:t xml:space="preserve"> to issuers </w:t>
      </w:r>
      <w:r w:rsidR="00F97847">
        <w:t>after reviews are final</w:t>
      </w:r>
      <w:r w:rsidR="00B14D5F">
        <w:t xml:space="preserve"> and </w:t>
      </w:r>
      <w:r w:rsidR="00F97847">
        <w:t>before OE.</w:t>
      </w:r>
      <w:r w:rsidR="00B14D5F">
        <w:t xml:space="preserve"> </w:t>
      </w:r>
      <w:r w:rsidR="00FF61AC">
        <w:t xml:space="preserve">All certification decisions made by </w:t>
      </w:r>
      <w:r w:rsidR="003A3865">
        <w:t>Georgia Access</w:t>
      </w:r>
      <w:r w:rsidR="00FF61AC">
        <w:t xml:space="preserve"> during the QHP certification period for the upcoming plan year are final and </w:t>
      </w:r>
      <w:r w:rsidR="00710174">
        <w:t>insurance companies</w:t>
      </w:r>
      <w:r w:rsidR="00FF61AC">
        <w:t xml:space="preserve"> may not appeal the certification determination. </w:t>
      </w:r>
      <w:r w:rsidR="003A3865">
        <w:t>Georgia Access</w:t>
      </w:r>
      <w:r w:rsidR="00FF61AC">
        <w:t xml:space="preserve"> reserves the right to identify and communicate plan data corrections prior to and after certification based on the original QHP application and any changes made to the application, or if the Product Review Division or </w:t>
      </w:r>
      <w:r w:rsidR="003A3865">
        <w:t>Georgia Access</w:t>
      </w:r>
      <w:r w:rsidR="00FF61AC">
        <w:t xml:space="preserve"> determine that any of the submitted information is inaccurate.</w:t>
      </w:r>
    </w:p>
    <w:p w14:paraId="22BED9D1" w14:textId="7D21B82A" w:rsidR="00414151" w:rsidRPr="00414151" w:rsidRDefault="00FF61AC" w:rsidP="18F4D121">
      <w:pPr>
        <w:spacing w:line="240" w:lineRule="auto"/>
        <w:jc w:val="both"/>
      </w:pPr>
      <w:r>
        <w:lastRenderedPageBreak/>
        <w:t xml:space="preserve">Georgia Access </w:t>
      </w:r>
      <w:r w:rsidR="00710174">
        <w:t>insurance companies</w:t>
      </w:r>
      <w:r>
        <w:t xml:space="preserve"> are required to sign a BAA that outlines QHP certification-related legal obligations. The BAA does not take effect unless at least one plan is certified as a QHP for the </w:t>
      </w:r>
      <w:proofErr w:type="gramStart"/>
      <w:r>
        <w:t>plan</w:t>
      </w:r>
      <w:proofErr w:type="gramEnd"/>
      <w:r>
        <w:t xml:space="preserve"> year.</w:t>
      </w:r>
    </w:p>
    <w:p w14:paraId="00F1FAE5" w14:textId="77F93298" w:rsidR="00B64501" w:rsidRDefault="00B64501" w:rsidP="00A53E91">
      <w:pPr>
        <w:pStyle w:val="Heading4"/>
        <w:spacing w:line="240" w:lineRule="auto"/>
      </w:pPr>
      <w:r>
        <w:t>Plan Management Module</w:t>
      </w:r>
    </w:p>
    <w:p w14:paraId="69BB5389" w14:textId="554ADC46" w:rsidR="00E25A4E" w:rsidRDefault="00CE571C" w:rsidP="18F4D121">
      <w:pPr>
        <w:spacing w:line="240" w:lineRule="auto"/>
        <w:jc w:val="both"/>
      </w:pPr>
      <w:r>
        <w:t xml:space="preserve">Georgia Access conducts </w:t>
      </w:r>
      <w:proofErr w:type="gramStart"/>
      <w:r>
        <w:t>a number of</w:t>
      </w:r>
      <w:proofErr w:type="gramEnd"/>
      <w:r>
        <w:t xml:space="preserve"> activities in the Plan Management Module before OE each plan year. These activities include plan validation, insurance company URL upload</w:t>
      </w:r>
      <w:proofErr w:type="gramStart"/>
      <w:r>
        <w:t>, plan</w:t>
      </w:r>
      <w:proofErr w:type="gramEnd"/>
      <w:r>
        <w:t xml:space="preserve"> crosswalk upload, </w:t>
      </w:r>
      <w:r w:rsidR="00E25A4E">
        <w:t xml:space="preserve">and </w:t>
      </w:r>
      <w:r>
        <w:t>quality rating file upload.</w:t>
      </w:r>
    </w:p>
    <w:p w14:paraId="68E3FE65" w14:textId="77777777" w:rsidR="00E25A4E" w:rsidRDefault="00880A0D" w:rsidP="18F4D121">
      <w:pPr>
        <w:spacing w:line="240" w:lineRule="auto"/>
        <w:jc w:val="both"/>
      </w:pPr>
      <w:r>
        <w:t xml:space="preserve">Insurance companies are </w:t>
      </w:r>
      <w:r w:rsidR="00CE571C">
        <w:t xml:space="preserve">also </w:t>
      </w:r>
      <w:r>
        <w:t xml:space="preserve">required to conduct </w:t>
      </w:r>
      <w:r w:rsidR="00CE571C">
        <w:t>plan validation</w:t>
      </w:r>
      <w:r>
        <w:t xml:space="preserve"> in the Plan Management Module before OE each plan year. </w:t>
      </w:r>
    </w:p>
    <w:p w14:paraId="3A72E750" w14:textId="52E651FB" w:rsidR="00880A0D" w:rsidRPr="00880A0D" w:rsidRDefault="00E25A4E" w:rsidP="18F4D121">
      <w:pPr>
        <w:spacing w:line="240" w:lineRule="auto"/>
        <w:jc w:val="both"/>
      </w:pPr>
      <w:r>
        <w:t xml:space="preserve">Details for these processes are included in the annual </w:t>
      </w:r>
      <w:r w:rsidRPr="18F4D121">
        <w:rPr>
          <w:i/>
          <w:iCs/>
        </w:rPr>
        <w:t>QHP Application Instructions for Issuers</w:t>
      </w:r>
      <w:r>
        <w:t>.</w:t>
      </w:r>
    </w:p>
    <w:p w14:paraId="347934CE" w14:textId="73BDF833" w:rsidR="0067461E" w:rsidRDefault="0067461E" w:rsidP="00A53E91">
      <w:pPr>
        <w:pStyle w:val="Heading4"/>
        <w:spacing w:line="240" w:lineRule="auto"/>
      </w:pPr>
      <w:bookmarkStart w:id="107" w:name="_Plan_ID_Crosswalk"/>
      <w:bookmarkEnd w:id="107"/>
      <w:r>
        <w:t>Public Use Files</w:t>
      </w:r>
      <w:r w:rsidR="006E3A16">
        <w:t xml:space="preserve"> (PUFs)</w:t>
      </w:r>
    </w:p>
    <w:p w14:paraId="014B1A88" w14:textId="028DCD64" w:rsidR="00A20471" w:rsidRPr="007E1F27" w:rsidRDefault="003A3865" w:rsidP="18F4D121">
      <w:pPr>
        <w:spacing w:line="240" w:lineRule="auto"/>
        <w:jc w:val="both"/>
      </w:pPr>
      <w:bookmarkStart w:id="108" w:name="_Hlk76623143"/>
      <w:r>
        <w:t>Georgia Access</w:t>
      </w:r>
      <w:r w:rsidR="00A20471">
        <w:t xml:space="preserve"> is responsible for generating PUFs containing plan data. PUFs created and maintained by Georgia Access include Benefits and Cost Sharing, Rate, Plan Attributes, Business Rules, Service Area, Network, Plan ID Crosswalk, Machine-readable URL, and </w:t>
      </w:r>
      <w:r w:rsidR="00E25A4E">
        <w:t>Quality Rating System (</w:t>
      </w:r>
      <w:r w:rsidR="00A20471">
        <w:t>QRS</w:t>
      </w:r>
      <w:r w:rsidR="00E25A4E">
        <w:t>)</w:t>
      </w:r>
      <w:r w:rsidR="00A20471">
        <w:t xml:space="preserve">. </w:t>
      </w:r>
    </w:p>
    <w:p w14:paraId="11F9E3A2" w14:textId="57E7E0A0" w:rsidR="00414151" w:rsidRPr="00414151" w:rsidRDefault="00A20471" w:rsidP="18F4D121">
      <w:pPr>
        <w:spacing w:line="240" w:lineRule="auto"/>
        <w:jc w:val="both"/>
      </w:pPr>
      <w:r>
        <w:t>These PUFs are</w:t>
      </w:r>
      <w:r w:rsidR="00E25A4E">
        <w:t xml:space="preserve"> published on the Georgia Access </w:t>
      </w:r>
      <w:r w:rsidR="002677B2">
        <w:t>website</w:t>
      </w:r>
      <w:r w:rsidR="00E25A4E">
        <w:t xml:space="preserve"> and</w:t>
      </w:r>
      <w:r>
        <w:t xml:space="preserve"> provided to the Georgia Access EDE Partners so that they can display the most recent plan data on their enrollment websites. </w:t>
      </w:r>
      <w:bookmarkEnd w:id="108"/>
    </w:p>
    <w:p w14:paraId="7B0FE0E9" w14:textId="51E8D759" w:rsidR="00414151" w:rsidRPr="00414151" w:rsidRDefault="00A77C54" w:rsidP="00A53E91">
      <w:pPr>
        <w:pStyle w:val="Heading3"/>
        <w:spacing w:line="240" w:lineRule="auto"/>
      </w:pPr>
      <w:bookmarkStart w:id="109" w:name="_Toc155798421"/>
      <w:bookmarkStart w:id="110" w:name="_Toc209003069"/>
      <w:bookmarkEnd w:id="109"/>
      <w:r>
        <w:t>Data Changes and Plan Withdrawal</w:t>
      </w:r>
      <w:bookmarkEnd w:id="110"/>
    </w:p>
    <w:p w14:paraId="618C74E9" w14:textId="06DD3AC1" w:rsidR="00832DA0" w:rsidRDefault="00832DA0" w:rsidP="00A53E91">
      <w:pPr>
        <w:pStyle w:val="Heading4"/>
        <w:spacing w:line="240" w:lineRule="auto"/>
      </w:pPr>
      <w:r>
        <w:t>Data Changes</w:t>
      </w:r>
    </w:p>
    <w:p w14:paraId="0772DB4A" w14:textId="5A0BE779" w:rsidR="0098025E" w:rsidRDefault="00783519" w:rsidP="18F4D121">
      <w:pPr>
        <w:spacing w:line="240" w:lineRule="auto"/>
        <w:jc w:val="both"/>
      </w:pPr>
      <w:r>
        <w:t xml:space="preserve">The approach for </w:t>
      </w:r>
      <w:r w:rsidR="00710174">
        <w:t>insurance companies</w:t>
      </w:r>
      <w:r>
        <w:t xml:space="preserve"> making QHP application data changes depends upon where </w:t>
      </w:r>
      <w:r w:rsidR="00710174">
        <w:t>insurance companies</w:t>
      </w:r>
      <w:r>
        <w:t xml:space="preserve"> are in the application submission and review process. </w:t>
      </w:r>
      <w:r w:rsidR="00132B89">
        <w:t>The timeline for allowable data changes</w:t>
      </w:r>
      <w:r w:rsidR="00F46CB8">
        <w:t xml:space="preserve"> and the process for submitting changes are</w:t>
      </w:r>
      <w:r w:rsidR="00132B89">
        <w:t xml:space="preserve"> published in the annual </w:t>
      </w:r>
      <w:r w:rsidR="00132B89" w:rsidRPr="18F4D121">
        <w:rPr>
          <w:i/>
          <w:iCs/>
        </w:rPr>
        <w:t>QHP Application Instructions for Issuers</w:t>
      </w:r>
      <w:r w:rsidR="00132B89">
        <w:t xml:space="preserve">. </w:t>
      </w:r>
    </w:p>
    <w:p w14:paraId="5162B868" w14:textId="5CEC0467" w:rsidR="00783519" w:rsidRPr="00783519" w:rsidRDefault="0098025E" w:rsidP="18F4D121">
      <w:pPr>
        <w:spacing w:line="240" w:lineRule="auto"/>
        <w:jc w:val="both"/>
      </w:pPr>
      <w:r>
        <w:t xml:space="preserve">Insurance companies that need to make </w:t>
      </w:r>
      <w:r w:rsidR="00F46CB8">
        <w:t>plan data</w:t>
      </w:r>
      <w:r>
        <w:t xml:space="preserve"> changes after data is certified </w:t>
      </w:r>
      <w:r w:rsidR="00F46CB8">
        <w:t xml:space="preserve">are typically required to submit a data change request. </w:t>
      </w:r>
      <w:r w:rsidR="00132B89">
        <w:t xml:space="preserve">The </w:t>
      </w:r>
      <w:r w:rsidR="00132B89" w:rsidRPr="18F4D121">
        <w:rPr>
          <w:i/>
          <w:iCs/>
        </w:rPr>
        <w:t>Data Change Request Form</w:t>
      </w:r>
      <w:r w:rsidR="00132B89">
        <w:t xml:space="preserve"> is posted to SERFF.</w:t>
      </w:r>
    </w:p>
    <w:p w14:paraId="24B9DB85" w14:textId="52F9EABB" w:rsidR="00832DA0" w:rsidRDefault="00832DA0" w:rsidP="00A53E91">
      <w:pPr>
        <w:pStyle w:val="Heading4"/>
        <w:spacing w:line="240" w:lineRule="auto"/>
      </w:pPr>
      <w:r>
        <w:t>Plan Display Error Special Enrollment Periods</w:t>
      </w:r>
    </w:p>
    <w:p w14:paraId="20BE58F2" w14:textId="1C6F24B5" w:rsidR="00B818DA" w:rsidRDefault="00B818DA" w:rsidP="18F4D121">
      <w:pPr>
        <w:spacing w:line="240" w:lineRule="auto"/>
        <w:jc w:val="both"/>
      </w:pPr>
      <w:r>
        <w:t xml:space="preserve">If an </w:t>
      </w:r>
      <w:r w:rsidR="00710174">
        <w:t>insurance company</w:t>
      </w:r>
      <w:r>
        <w:t xml:space="preserve"> needs to make a data change after </w:t>
      </w:r>
      <w:r w:rsidR="00224270">
        <w:t>OE</w:t>
      </w:r>
      <w:r w:rsidR="00F46CB8">
        <w:t xml:space="preserve"> begins</w:t>
      </w:r>
      <w:r>
        <w:t xml:space="preserve">, the </w:t>
      </w:r>
      <w:r w:rsidR="00710174">
        <w:t>insurance company</w:t>
      </w:r>
      <w:r>
        <w:t xml:space="preserve"> must include in its data change request the number of consumers enrolled in the affected plans and the impact to those consumers. If the impact is negative to consumers, the </w:t>
      </w:r>
      <w:r w:rsidR="00710174">
        <w:t>insurance company</w:t>
      </w:r>
      <w:r>
        <w:t xml:space="preserve"> must determine if they would like to provide the affected consumers with a </w:t>
      </w:r>
      <w:r w:rsidR="00F46CB8">
        <w:t>plan display error (</w:t>
      </w:r>
      <w:r>
        <w:t>PDE</w:t>
      </w:r>
      <w:r w:rsidR="00F46CB8">
        <w:t xml:space="preserve">) </w:t>
      </w:r>
      <w:r>
        <w:t xml:space="preserve">SEP or if the </w:t>
      </w:r>
      <w:r w:rsidR="00710174">
        <w:t>insurance company</w:t>
      </w:r>
      <w:r>
        <w:t xml:space="preserve"> will honor the benefit as it was displayed when the consumers enrolled.</w:t>
      </w:r>
    </w:p>
    <w:p w14:paraId="4166FFA6" w14:textId="187BCEE7" w:rsidR="00B818DA" w:rsidRDefault="00660C0C" w:rsidP="18F4D121">
      <w:pPr>
        <w:spacing w:line="240" w:lineRule="auto"/>
        <w:jc w:val="both"/>
      </w:pPr>
      <w:r>
        <w:t>PDEs</w:t>
      </w:r>
      <w:r w:rsidR="00B818DA">
        <w:t xml:space="preserve"> may also be identified by consumers and/or the State. If this is the case, </w:t>
      </w:r>
      <w:r w:rsidR="00F46CB8">
        <w:t>Georgia Access</w:t>
      </w:r>
      <w:r w:rsidR="00B818DA">
        <w:t xml:space="preserve"> reviews to determine whether they agree there is an error, and if so, notifies the </w:t>
      </w:r>
      <w:r w:rsidR="00710174">
        <w:t>insurance company</w:t>
      </w:r>
      <w:r w:rsidR="00B818DA">
        <w:t xml:space="preserve"> of the potential error and requests a data change request or a response explaining why the </w:t>
      </w:r>
      <w:r w:rsidR="00710174">
        <w:t>insurance company</w:t>
      </w:r>
      <w:r w:rsidR="00B818DA">
        <w:t xml:space="preserve"> does not believe there is an error.</w:t>
      </w:r>
    </w:p>
    <w:p w14:paraId="36FF230E" w14:textId="2FDE3A33" w:rsidR="00414151" w:rsidRPr="00414151" w:rsidRDefault="00B818DA" w:rsidP="18F4D121">
      <w:pPr>
        <w:spacing w:line="240" w:lineRule="auto"/>
        <w:jc w:val="both"/>
      </w:pPr>
      <w:r>
        <w:t xml:space="preserve">When </w:t>
      </w:r>
      <w:r w:rsidR="00710174">
        <w:t>insurance companies</w:t>
      </w:r>
      <w:r>
        <w:t xml:space="preserve"> opt to honor the benefit </w:t>
      </w:r>
      <w:proofErr w:type="gramStart"/>
      <w:r>
        <w:t>as it</w:t>
      </w:r>
      <w:proofErr w:type="gramEnd"/>
      <w:r>
        <w:t xml:space="preserve"> was originally displayed, no additional action is needed after the plan data and PUFs are posted. </w:t>
      </w:r>
      <w:r w:rsidR="0019415B">
        <w:t xml:space="preserve">Otherwise, </w:t>
      </w:r>
      <w:r w:rsidR="007C2379">
        <w:t>Georgia Access work</w:t>
      </w:r>
      <w:r w:rsidR="00F46CB8">
        <w:t>s</w:t>
      </w:r>
      <w:r w:rsidR="007C2379">
        <w:t xml:space="preserve"> with </w:t>
      </w:r>
      <w:r w:rsidR="00710174">
        <w:t>insurance companies</w:t>
      </w:r>
      <w:r w:rsidR="007C2379">
        <w:t xml:space="preserve"> to provide consumers with a PDE SEP. </w:t>
      </w:r>
    </w:p>
    <w:p w14:paraId="4C6761A2" w14:textId="1A885C6B" w:rsidR="00832DA0" w:rsidRDefault="00832DA0" w:rsidP="00A53E91">
      <w:pPr>
        <w:pStyle w:val="Heading4"/>
        <w:spacing w:line="240" w:lineRule="auto"/>
      </w:pPr>
      <w:r>
        <w:t>QHP Plan Withdrawal</w:t>
      </w:r>
    </w:p>
    <w:p w14:paraId="6EF26957" w14:textId="057CB73B" w:rsidR="00FE5346" w:rsidRDefault="4AC45AD0" w:rsidP="18F4D121">
      <w:pPr>
        <w:spacing w:line="240" w:lineRule="auto"/>
        <w:jc w:val="both"/>
      </w:pPr>
      <w:r>
        <w:t>Insurance companies</w:t>
      </w:r>
      <w:r w:rsidR="5E3B8FE5">
        <w:t xml:space="preserve"> can </w:t>
      </w:r>
      <w:r w:rsidR="3FC7C512">
        <w:t xml:space="preserve">request to </w:t>
      </w:r>
      <w:r w:rsidR="5E3B8FE5">
        <w:t>withdraw plans as needed before the final submission deadline for the upcoming plan year by</w:t>
      </w:r>
      <w:r w:rsidR="62E34704">
        <w:t xml:space="preserve"> uploading a Plan Withdrawal Request Form under the Supporting Documentation section in SERFF and </w:t>
      </w:r>
      <w:r w:rsidR="5E3B8FE5">
        <w:t xml:space="preserve">notifying </w:t>
      </w:r>
      <w:r w:rsidR="5FEF5B5F">
        <w:t>Georgia Access</w:t>
      </w:r>
      <w:r w:rsidR="5E3B8FE5">
        <w:t xml:space="preserve"> via email</w:t>
      </w:r>
      <w:r w:rsidR="38D5C174">
        <w:t xml:space="preserve"> of the submission</w:t>
      </w:r>
      <w:r w:rsidR="5EBF1BD6">
        <w:t xml:space="preserve"> at </w:t>
      </w:r>
      <w:hyperlink r:id="rId14">
        <w:r w:rsidR="001B4349" w:rsidRPr="18F4D121">
          <w:rPr>
            <w:rStyle w:val="Hyperlink"/>
          </w:rPr>
          <w:t>planmanagement@georgiaaccess.ga.gov</w:t>
        </w:r>
      </w:hyperlink>
      <w:r w:rsidR="5E3B8FE5">
        <w:t xml:space="preserve">. </w:t>
      </w:r>
      <w:r>
        <w:t>Insurance companies</w:t>
      </w:r>
      <w:r w:rsidR="5E3B8FE5">
        <w:t xml:space="preserve"> can also change the status of SADPs to off-Exchange only.</w:t>
      </w:r>
    </w:p>
    <w:p w14:paraId="380218B7" w14:textId="1D9AB839" w:rsidR="00FE5346" w:rsidRPr="007E1F27" w:rsidRDefault="00493BC7" w:rsidP="18F4D121">
      <w:pPr>
        <w:spacing w:line="240" w:lineRule="auto"/>
        <w:jc w:val="both"/>
      </w:pPr>
      <w:r>
        <w:t>Georgia Access</w:t>
      </w:r>
      <w:r w:rsidR="00FE5346">
        <w:t xml:space="preserve"> provide</w:t>
      </w:r>
      <w:r>
        <w:t>s</w:t>
      </w:r>
      <w:r w:rsidR="00FE5346">
        <w:t xml:space="preserve"> a deadline each year by which </w:t>
      </w:r>
      <w:r w:rsidR="00710174">
        <w:t>insurance companies</w:t>
      </w:r>
      <w:r w:rsidR="00FE5346">
        <w:t xml:space="preserve"> must notify the State of any plan withdrawal requests (typically late July/early August). </w:t>
      </w:r>
      <w:r>
        <w:t>Georgia Access</w:t>
      </w:r>
      <w:r w:rsidR="00FE5346">
        <w:t xml:space="preserve"> review</w:t>
      </w:r>
      <w:r>
        <w:t>s</w:t>
      </w:r>
      <w:r w:rsidR="00FE5346">
        <w:t xml:space="preserve"> and approve</w:t>
      </w:r>
      <w:r>
        <w:t>s</w:t>
      </w:r>
      <w:r w:rsidR="00FE5346">
        <w:t>/den</w:t>
      </w:r>
      <w:r>
        <w:t xml:space="preserve">ies </w:t>
      </w:r>
      <w:r w:rsidR="00FE5346">
        <w:t xml:space="preserve">withdrawal requests on a case-by-case basis. </w:t>
      </w:r>
    </w:p>
    <w:p w14:paraId="3D329449" w14:textId="74794E9C" w:rsidR="00414151" w:rsidRPr="00414151" w:rsidRDefault="00FE5346" w:rsidP="18F4D121">
      <w:pPr>
        <w:spacing w:line="240" w:lineRule="auto"/>
        <w:jc w:val="both"/>
      </w:pPr>
      <w:r w:rsidRPr="007E1F27">
        <w:t xml:space="preserve">If an </w:t>
      </w:r>
      <w:r w:rsidR="00710174">
        <w:t>insurance company</w:t>
      </w:r>
      <w:r w:rsidRPr="007E1F27">
        <w:t xml:space="preserve"> discontinues all QHPs in Georgia’s individual health insurance market, the </w:t>
      </w:r>
      <w:r w:rsidR="00710174">
        <w:t>insurance company</w:t>
      </w:r>
      <w:r w:rsidRPr="007E1F27">
        <w:t xml:space="preserve"> </w:t>
      </w:r>
      <w:r>
        <w:t xml:space="preserve">may </w:t>
      </w:r>
      <w:r w:rsidRPr="007E1F27">
        <w:t>not</w:t>
      </w:r>
      <w:r>
        <w:t xml:space="preserve"> be</w:t>
      </w:r>
      <w:r w:rsidRPr="007E1F27">
        <w:t xml:space="preserve"> permitted to return to offer plans for a period of five years beginning on the date of discontinuation of the last coverage not renewed.</w:t>
      </w:r>
      <w:r w:rsidRPr="007E1F27">
        <w:rPr>
          <w:vertAlign w:val="superscript"/>
        </w:rPr>
        <w:footnoteReference w:id="4"/>
      </w:r>
      <w:r w:rsidRPr="007E1F27">
        <w:t xml:space="preserve"> </w:t>
      </w:r>
    </w:p>
    <w:p w14:paraId="64D7AE70" w14:textId="77777777" w:rsidR="002E4050" w:rsidRDefault="002E4050" w:rsidP="00A53E91">
      <w:pPr>
        <w:pStyle w:val="Heading3"/>
        <w:spacing w:line="240" w:lineRule="auto"/>
      </w:pPr>
      <w:bookmarkStart w:id="111" w:name="_Toc209003070"/>
      <w:r>
        <w:t>Oversight and Compliance</w:t>
      </w:r>
      <w:bookmarkEnd w:id="111"/>
    </w:p>
    <w:p w14:paraId="414BE2F1" w14:textId="77777777" w:rsidR="002E4050" w:rsidRDefault="002E4050" w:rsidP="18F4D121">
      <w:pPr>
        <w:spacing w:line="240" w:lineRule="auto"/>
        <w:jc w:val="both"/>
      </w:pPr>
      <w:r>
        <w:t>Georgia Access is responsible for monitoring all QHPs’ compliance with certification standards for all insurance companies participating in Georgia Access, with coordination and consult from the Product Review Division. Georgia Access conducts two types of compliance reviews: complaint-driven reviews and ad hoc compliance reviews.</w:t>
      </w:r>
    </w:p>
    <w:p w14:paraId="174E12BE" w14:textId="77777777" w:rsidR="002E4050" w:rsidRDefault="2761095F" w:rsidP="00A53E91">
      <w:pPr>
        <w:pStyle w:val="Heading4"/>
        <w:spacing w:line="240" w:lineRule="auto"/>
      </w:pPr>
      <w:r>
        <w:t>Complaint-Driven Reviews</w:t>
      </w:r>
    </w:p>
    <w:p w14:paraId="2931B8AC" w14:textId="39062C59" w:rsidR="002E4050" w:rsidRPr="00C0153E" w:rsidRDefault="00E17B4A" w:rsidP="00A53E91">
      <w:pPr>
        <w:spacing w:after="0" w:line="240" w:lineRule="auto"/>
        <w:rPr>
          <w:rStyle w:val="SubtleReference"/>
          <w:rFonts w:ascii="Arial" w:eastAsiaTheme="majorEastAsia" w:hAnsi="Arial" w:cstheme="majorBidi"/>
          <w:szCs w:val="24"/>
        </w:rPr>
      </w:pPr>
      <w:r>
        <w:rPr>
          <w:rStyle w:val="SubtleReference"/>
        </w:rPr>
        <w:t>A</w:t>
      </w:r>
      <w:r w:rsidR="002E4050" w:rsidRPr="00C0153E">
        <w:rPr>
          <w:rStyle w:val="SubtleReference"/>
        </w:rPr>
        <w:t>ssociated federal regulation: 45 CFR 155.1010; 45 CFR 155.1200</w:t>
      </w:r>
    </w:p>
    <w:p w14:paraId="73867A6B" w14:textId="69DF37F8" w:rsidR="002E4050" w:rsidRDefault="002E4050" w:rsidP="18F4D121">
      <w:pPr>
        <w:spacing w:line="240" w:lineRule="auto"/>
        <w:jc w:val="both"/>
      </w:pPr>
      <w:r>
        <w:t xml:space="preserve">Complaints can be filed formally through OCI’s </w:t>
      </w:r>
      <w:r w:rsidR="007E39EC">
        <w:t xml:space="preserve">Consumer Services Division </w:t>
      </w:r>
      <w:r>
        <w:t xml:space="preserve">(non-discrimination and accessibility complaints) or </w:t>
      </w:r>
      <w:r w:rsidR="007E39EC">
        <w:t xml:space="preserve">OCI’s </w:t>
      </w:r>
      <w:r w:rsidR="00DA06FD">
        <w:t xml:space="preserve">Criminal Investigations Division </w:t>
      </w:r>
      <w:r>
        <w:t xml:space="preserve">(fraud, waste, and abuse complaints), or informally via various channels, including directly with the Product Review Division or Georgia Access Contact Center. </w:t>
      </w:r>
    </w:p>
    <w:p w14:paraId="09135635" w14:textId="784E92ED" w:rsidR="002E4050" w:rsidRPr="007E1F27" w:rsidRDefault="2761095F" w:rsidP="18F4D121">
      <w:pPr>
        <w:spacing w:line="240" w:lineRule="auto"/>
        <w:jc w:val="both"/>
      </w:pPr>
      <w:r>
        <w:t>Georgia Access performs compliance reviews for any plan management-related complaints, regardless of how they’re filed. Georgia Access reviews several data sources to decide on the path forward, which may include decertification or plan suppression. These data sources include</w:t>
      </w:r>
      <w:r w:rsidR="0B4E296C">
        <w:t>, but are not limited to</w:t>
      </w:r>
      <w:r>
        <w:t>:</w:t>
      </w:r>
    </w:p>
    <w:p w14:paraId="45DEE221" w14:textId="77777777" w:rsidR="002E4050" w:rsidRPr="007E1F27" w:rsidRDefault="002E4050" w:rsidP="008E39B8">
      <w:pPr>
        <w:pStyle w:val="ListParagraph"/>
        <w:numPr>
          <w:ilvl w:val="0"/>
          <w:numId w:val="29"/>
        </w:numPr>
        <w:spacing w:line="240" w:lineRule="auto"/>
        <w:jc w:val="both"/>
      </w:pPr>
      <w:r>
        <w:t>Complaint data</w:t>
      </w:r>
    </w:p>
    <w:p w14:paraId="1295F2A5" w14:textId="77777777" w:rsidR="002E4050" w:rsidRPr="007E1F27" w:rsidRDefault="002E4050" w:rsidP="008E39B8">
      <w:pPr>
        <w:pStyle w:val="ListParagraph"/>
        <w:numPr>
          <w:ilvl w:val="0"/>
          <w:numId w:val="29"/>
        </w:numPr>
        <w:spacing w:line="240" w:lineRule="auto"/>
        <w:jc w:val="both"/>
      </w:pPr>
      <w:r>
        <w:t>Insurance company self-reporting</w:t>
      </w:r>
    </w:p>
    <w:p w14:paraId="1D8A5193" w14:textId="77777777" w:rsidR="002E4050" w:rsidRPr="007E1F27" w:rsidRDefault="002E4050" w:rsidP="008E39B8">
      <w:pPr>
        <w:pStyle w:val="ListParagraph"/>
        <w:numPr>
          <w:ilvl w:val="0"/>
          <w:numId w:val="29"/>
        </w:numPr>
        <w:spacing w:line="240" w:lineRule="auto"/>
        <w:jc w:val="both"/>
      </w:pPr>
      <w:r>
        <w:t>Insurance company policies, procedures, and operations</w:t>
      </w:r>
    </w:p>
    <w:p w14:paraId="5E683FA1" w14:textId="77777777" w:rsidR="002E4050" w:rsidRPr="007E1F27" w:rsidRDefault="002E4050" w:rsidP="008E39B8">
      <w:pPr>
        <w:pStyle w:val="ListParagraph"/>
        <w:numPr>
          <w:ilvl w:val="0"/>
          <w:numId w:val="29"/>
        </w:numPr>
        <w:spacing w:line="240" w:lineRule="auto"/>
        <w:jc w:val="both"/>
      </w:pPr>
      <w:r>
        <w:t>Indicators of customer service and satisfaction</w:t>
      </w:r>
    </w:p>
    <w:p w14:paraId="605DEB6A" w14:textId="77777777" w:rsidR="002E4050" w:rsidRPr="007E1F27" w:rsidRDefault="002E4050" w:rsidP="008E39B8">
      <w:pPr>
        <w:pStyle w:val="ListParagraph"/>
        <w:numPr>
          <w:ilvl w:val="0"/>
          <w:numId w:val="29"/>
        </w:numPr>
        <w:spacing w:line="240" w:lineRule="auto"/>
        <w:jc w:val="both"/>
      </w:pPr>
      <w:r>
        <w:t>Network adequacy analysis</w:t>
      </w:r>
    </w:p>
    <w:p w14:paraId="0E1D18E1" w14:textId="77777777" w:rsidR="002E4050" w:rsidRPr="007E1F27" w:rsidRDefault="002E4050" w:rsidP="008E39B8">
      <w:pPr>
        <w:pStyle w:val="ListParagraph"/>
        <w:numPr>
          <w:ilvl w:val="0"/>
          <w:numId w:val="29"/>
        </w:numPr>
        <w:spacing w:line="240" w:lineRule="auto"/>
        <w:jc w:val="both"/>
      </w:pPr>
      <w:r>
        <w:t>Eligibility and enrollment data</w:t>
      </w:r>
    </w:p>
    <w:p w14:paraId="0D501B46" w14:textId="77777777" w:rsidR="002E4050" w:rsidRPr="00977709" w:rsidRDefault="002E4050" w:rsidP="18F4D121">
      <w:pPr>
        <w:spacing w:line="240" w:lineRule="auto"/>
        <w:jc w:val="both"/>
      </w:pPr>
      <w:r>
        <w:t>Georgia Access communicates next steps directly with the insurance company and informs all other appropriate governmental units of any ongoing compliance issues or investigations with insurance companies in Georgia Access.</w:t>
      </w:r>
    </w:p>
    <w:p w14:paraId="5533145C" w14:textId="77777777" w:rsidR="002E4050" w:rsidRDefault="002E4050" w:rsidP="00A53E91">
      <w:pPr>
        <w:pStyle w:val="Heading4"/>
        <w:spacing w:line="240" w:lineRule="auto"/>
      </w:pPr>
      <w:r>
        <w:t>Ad hoc Compliance Reviews</w:t>
      </w:r>
    </w:p>
    <w:p w14:paraId="23A0F5A6" w14:textId="052CD455" w:rsidR="002E4050" w:rsidRPr="00C0153E" w:rsidRDefault="00E17B4A" w:rsidP="00A53E91">
      <w:pPr>
        <w:spacing w:after="0" w:line="240" w:lineRule="auto"/>
        <w:rPr>
          <w:rStyle w:val="SubtleReference"/>
          <w:rFonts w:ascii="Arial" w:eastAsiaTheme="majorEastAsia" w:hAnsi="Arial" w:cstheme="majorBidi"/>
          <w:szCs w:val="24"/>
        </w:rPr>
      </w:pPr>
      <w:r>
        <w:rPr>
          <w:rStyle w:val="SubtleReference"/>
        </w:rPr>
        <w:t>A</w:t>
      </w:r>
      <w:r w:rsidR="002E4050" w:rsidRPr="00C0153E">
        <w:rPr>
          <w:rStyle w:val="SubtleReference"/>
        </w:rPr>
        <w:t>ssociated federal regulation: 45 CFR 155.1010; 45 CFR 155.1200</w:t>
      </w:r>
    </w:p>
    <w:p w14:paraId="70FCAE2E" w14:textId="77777777" w:rsidR="002E4050" w:rsidRPr="007E1F27" w:rsidRDefault="002E4050" w:rsidP="18F4D121">
      <w:pPr>
        <w:spacing w:line="240" w:lineRule="auto"/>
        <w:jc w:val="both"/>
      </w:pPr>
      <w:r>
        <w:t xml:space="preserve">Georgia Access conducts ad hoc QHP compliance reviews on Georgia Access insurance companies. These reviews may be focused on a specific area or may review an insurance company’s compliance with Georgia Access regulations. These reviews may be conducted randomly or may be in response to an external auditor’s findings, Georgia Access Contact Center statistics, or other Georgia Access reports. </w:t>
      </w:r>
    </w:p>
    <w:p w14:paraId="28B3027D" w14:textId="77777777" w:rsidR="002E4050" w:rsidRPr="007E1F27" w:rsidRDefault="002E4050" w:rsidP="18F4D121">
      <w:pPr>
        <w:spacing w:line="240" w:lineRule="auto"/>
        <w:jc w:val="both"/>
      </w:pPr>
      <w:r>
        <w:lastRenderedPageBreak/>
        <w:t xml:space="preserve">Insurance companies agree to adhere to all QHP certification regulations in the BAAs they sign annually. These BAAs include agreement to cooperate with any compliance reviews conducted by Georgia Access. </w:t>
      </w:r>
    </w:p>
    <w:p w14:paraId="76733EE9" w14:textId="77777777" w:rsidR="002E4050" w:rsidRDefault="002E4050" w:rsidP="00A53E91">
      <w:pPr>
        <w:pStyle w:val="Heading4"/>
        <w:spacing w:line="240" w:lineRule="auto"/>
      </w:pPr>
      <w:r>
        <w:t>Decertification</w:t>
      </w:r>
    </w:p>
    <w:p w14:paraId="3E41781E" w14:textId="63055D40" w:rsidR="002E4050" w:rsidRPr="00CB1B9F" w:rsidRDefault="00E17B4A" w:rsidP="00A53E91">
      <w:pPr>
        <w:spacing w:after="0" w:line="240" w:lineRule="auto"/>
        <w:rPr>
          <w:smallCaps/>
          <w:color w:val="5A5A5A" w:themeColor="text1" w:themeTint="A5"/>
        </w:rPr>
      </w:pPr>
      <w:r>
        <w:rPr>
          <w:smallCaps/>
          <w:color w:val="5A5A5A" w:themeColor="text1" w:themeTint="A5"/>
        </w:rPr>
        <w:t>A</w:t>
      </w:r>
      <w:r w:rsidR="002E4050" w:rsidRPr="00CB1B9F">
        <w:rPr>
          <w:smallCaps/>
          <w:color w:val="5A5A5A" w:themeColor="text1" w:themeTint="A5"/>
        </w:rPr>
        <w:t>ssociated federal regulation: 45 CFR 155.1080</w:t>
      </w:r>
    </w:p>
    <w:p w14:paraId="70A9D9F5" w14:textId="77777777" w:rsidR="002E4050" w:rsidRPr="00CB1B9F" w:rsidRDefault="002E4050" w:rsidP="18F4D121">
      <w:pPr>
        <w:spacing w:line="240" w:lineRule="auto"/>
        <w:jc w:val="both"/>
      </w:pPr>
      <w:r>
        <w:t>If an insurance company is no longer in compliance with Georgia Access QHP certification requirements, Georgia Access may decertify one or more of the insurance company’s plans. Decertification occurs after the plan has been certified by Georgia Access. If a plan is decertified, enrollees are granted an SEP to select a new plan. Decertification is a measure of last resort if all other corrective measures have been applied and have failed to resolve the compliance issue.</w:t>
      </w:r>
    </w:p>
    <w:p w14:paraId="3F1B7BA6" w14:textId="77777777" w:rsidR="002E4050" w:rsidRPr="00CB1B9F" w:rsidRDefault="002E4050" w:rsidP="18F4D121">
      <w:pPr>
        <w:spacing w:line="240" w:lineRule="auto"/>
        <w:jc w:val="both"/>
      </w:pPr>
      <w:r>
        <w:t>Georgia Access may decertify a plan for failure to comply with any QHP certification criteria, including, but not limited to, the following:</w:t>
      </w:r>
    </w:p>
    <w:p w14:paraId="1C635BA9" w14:textId="77777777" w:rsidR="002E4050" w:rsidRPr="00CB1B9F" w:rsidRDefault="002E4050" w:rsidP="008E39B8">
      <w:pPr>
        <w:numPr>
          <w:ilvl w:val="0"/>
          <w:numId w:val="30"/>
        </w:numPr>
        <w:spacing w:line="240" w:lineRule="auto"/>
        <w:ind w:left="720"/>
        <w:contextualSpacing/>
        <w:jc w:val="both"/>
      </w:pPr>
      <w:r>
        <w:t>Loss of valid insurance company license as issued by OCI</w:t>
      </w:r>
    </w:p>
    <w:p w14:paraId="2AC01965" w14:textId="77777777" w:rsidR="002E4050" w:rsidRPr="00CB1B9F" w:rsidRDefault="002E4050" w:rsidP="008E39B8">
      <w:pPr>
        <w:numPr>
          <w:ilvl w:val="0"/>
          <w:numId w:val="30"/>
        </w:numPr>
        <w:spacing w:line="240" w:lineRule="auto"/>
        <w:ind w:left="720"/>
        <w:contextualSpacing/>
        <w:jc w:val="both"/>
      </w:pPr>
      <w:r>
        <w:t>Financial insolvency</w:t>
      </w:r>
    </w:p>
    <w:p w14:paraId="269AF79B" w14:textId="77777777" w:rsidR="002E4050" w:rsidRPr="00CB1B9F" w:rsidRDefault="002E4050" w:rsidP="008E39B8">
      <w:pPr>
        <w:numPr>
          <w:ilvl w:val="0"/>
          <w:numId w:val="30"/>
        </w:numPr>
        <w:spacing w:line="240" w:lineRule="auto"/>
        <w:ind w:left="720"/>
        <w:jc w:val="both"/>
      </w:pPr>
      <w:r>
        <w:t>Loss of network providers so that the plan no longer meets the network adequacy standards for QHP certification</w:t>
      </w:r>
    </w:p>
    <w:p w14:paraId="2219CCD4" w14:textId="77777777" w:rsidR="002E4050" w:rsidRPr="00CB1B9F" w:rsidRDefault="002E4050" w:rsidP="18F4D121">
      <w:pPr>
        <w:spacing w:line="240" w:lineRule="auto"/>
        <w:jc w:val="both"/>
      </w:pPr>
      <w:r>
        <w:t xml:space="preserve">If an insurance company’s plan is decertified, and the insurance company wishes to offer the plan again the following year, the insurance company follows the same certification process to be certified in the next year. </w:t>
      </w:r>
    </w:p>
    <w:p w14:paraId="52D39A7C" w14:textId="0ED4F0D6" w:rsidR="002E4050" w:rsidRDefault="002E4050" w:rsidP="00A53E91">
      <w:pPr>
        <w:pStyle w:val="Heading4"/>
        <w:spacing w:line="240" w:lineRule="auto"/>
      </w:pPr>
      <w:r>
        <w:t>Decertification Appeals Policies</w:t>
      </w:r>
    </w:p>
    <w:p w14:paraId="1ADA6D1A" w14:textId="0743B126" w:rsidR="002E4050" w:rsidRPr="00C0153E" w:rsidRDefault="00E17B4A" w:rsidP="00A53E91">
      <w:pPr>
        <w:spacing w:after="0" w:line="240" w:lineRule="auto"/>
        <w:rPr>
          <w:rStyle w:val="SubtleReference"/>
          <w:rFonts w:ascii="Arial" w:eastAsiaTheme="majorEastAsia" w:hAnsi="Arial" w:cstheme="majorBidi"/>
          <w:szCs w:val="24"/>
        </w:rPr>
      </w:pPr>
      <w:r>
        <w:rPr>
          <w:rStyle w:val="SubtleReference"/>
        </w:rPr>
        <w:t>A</w:t>
      </w:r>
      <w:r w:rsidR="002E4050" w:rsidRPr="00C0153E">
        <w:rPr>
          <w:rStyle w:val="SubtleReference"/>
        </w:rPr>
        <w:t>ssociated federal regulation: 45 CFR 155.1080</w:t>
      </w:r>
    </w:p>
    <w:p w14:paraId="4898410E" w14:textId="6E1C7753" w:rsidR="002E4050" w:rsidRPr="007E1F27" w:rsidRDefault="002E4050" w:rsidP="18F4D121">
      <w:pPr>
        <w:spacing w:line="240" w:lineRule="auto"/>
        <w:jc w:val="both"/>
      </w:pPr>
      <w:r>
        <w:t xml:space="preserve">Should a plan be decertified due to failure to comply with certification criteria, insurance companies may submit a written appeal within </w:t>
      </w:r>
      <w:r w:rsidR="001A78D2">
        <w:t xml:space="preserve">15 </w:t>
      </w:r>
      <w:r>
        <w:t xml:space="preserve">calendar days to Georgia Access. Georgia Access reviews and notifies the insurance company of the appeal decision. </w:t>
      </w:r>
    </w:p>
    <w:p w14:paraId="64140CE5" w14:textId="1EA6BFA9" w:rsidR="455AB758" w:rsidRDefault="167E15D4" w:rsidP="18F4D121">
      <w:pPr>
        <w:spacing w:line="240" w:lineRule="auto"/>
        <w:jc w:val="both"/>
        <w:rPr>
          <w:rFonts w:eastAsiaTheme="minorEastAsia"/>
          <w:color w:val="333333"/>
        </w:rPr>
      </w:pPr>
      <w:r w:rsidRPr="18F4D121">
        <w:rPr>
          <w:rFonts w:eastAsiaTheme="minorEastAsia"/>
          <w:color w:val="333333"/>
        </w:rPr>
        <w:t xml:space="preserve">Insurers can file an appeal of the initial appeal decision to the OCI Administrative Procedure Division on </w:t>
      </w:r>
      <w:proofErr w:type="spellStart"/>
      <w:r w:rsidRPr="18F4D121">
        <w:rPr>
          <w:rFonts w:eastAsiaTheme="minorEastAsia"/>
          <w:color w:val="333333"/>
        </w:rPr>
        <w:t>GovLink</w:t>
      </w:r>
      <w:proofErr w:type="spellEnd"/>
      <w:r w:rsidRPr="18F4D121">
        <w:rPr>
          <w:rFonts w:eastAsiaTheme="minorEastAsia"/>
          <w:color w:val="333333"/>
        </w:rPr>
        <w:t>. Appeals to the Administrative Procedure Division follow the procedure outlined in GA. R. and Regs. Section 120-2-2.</w:t>
      </w:r>
    </w:p>
    <w:p w14:paraId="2855286A" w14:textId="6E5A1D59" w:rsidR="00AE2F58" w:rsidRDefault="00AE2F58" w:rsidP="00A53E91">
      <w:pPr>
        <w:pStyle w:val="Heading2"/>
        <w:spacing w:line="240" w:lineRule="auto"/>
      </w:pPr>
      <w:bookmarkStart w:id="112" w:name="_Data_Verification"/>
      <w:bookmarkStart w:id="113" w:name="_Eligibility_Verification_Standards_1"/>
      <w:bookmarkStart w:id="114" w:name="_Enrollment_Effectuation_and"/>
      <w:bookmarkStart w:id="115" w:name="_Toc209003071"/>
      <w:bookmarkEnd w:id="95"/>
      <w:bookmarkEnd w:id="96"/>
      <w:bookmarkEnd w:id="112"/>
      <w:bookmarkEnd w:id="113"/>
      <w:bookmarkEnd w:id="114"/>
      <w:r>
        <w:t>Enrollment Effectuation</w:t>
      </w:r>
      <w:r w:rsidR="007C344F">
        <w:t xml:space="preserve"> and Reconci</w:t>
      </w:r>
      <w:r w:rsidR="00B36E18">
        <w:t>liation</w:t>
      </w:r>
      <w:bookmarkEnd w:id="115"/>
    </w:p>
    <w:p w14:paraId="6028C48C" w14:textId="7D559C14" w:rsidR="005A56FF" w:rsidRPr="005A56FF" w:rsidRDefault="00243DCB" w:rsidP="00A53E91">
      <w:pPr>
        <w:pStyle w:val="Heading3"/>
        <w:spacing w:line="240" w:lineRule="auto"/>
      </w:pPr>
      <w:bookmarkStart w:id="116" w:name="_Toc209003072"/>
      <w:r>
        <w:t>Premium</w:t>
      </w:r>
      <w:r w:rsidR="009340CA">
        <w:t xml:space="preserve"> Payments</w:t>
      </w:r>
      <w:bookmarkEnd w:id="116"/>
    </w:p>
    <w:p w14:paraId="1A8B1901" w14:textId="6ACE8FB1" w:rsidR="00243DCB" w:rsidRDefault="00287D89" w:rsidP="00A53E91">
      <w:pPr>
        <w:pStyle w:val="Heading4"/>
        <w:spacing w:line="240" w:lineRule="auto"/>
      </w:pPr>
      <w:r>
        <w:t xml:space="preserve">Initial Payment (aka </w:t>
      </w:r>
      <w:r w:rsidR="00B14424">
        <w:t>“b</w:t>
      </w:r>
      <w:r w:rsidR="00243DCB">
        <w:t xml:space="preserve">inder </w:t>
      </w:r>
      <w:r w:rsidR="00B14424">
        <w:t>p</w:t>
      </w:r>
      <w:r w:rsidR="00243DCB">
        <w:t>ayment</w:t>
      </w:r>
      <w:r w:rsidR="00B14424">
        <w:t>” or “binder”)</w:t>
      </w:r>
    </w:p>
    <w:p w14:paraId="64150598" w14:textId="309D777F" w:rsidR="0001072C" w:rsidRDefault="007F0461" w:rsidP="00A53E91">
      <w:pPr>
        <w:spacing w:after="0" w:line="240" w:lineRule="auto"/>
      </w:pPr>
      <w:r>
        <w:rPr>
          <w:rStyle w:val="SubtleReference"/>
        </w:rPr>
        <w:t>A</w:t>
      </w:r>
      <w:r w:rsidR="00982257">
        <w:rPr>
          <w:rStyle w:val="SubtleReference"/>
        </w:rPr>
        <w:t>ssociated federal regulation:</w:t>
      </w:r>
      <w:r w:rsidR="00121F63" w:rsidRPr="001320D6">
        <w:rPr>
          <w:rStyle w:val="SubtleReference"/>
        </w:rPr>
        <w:t xml:space="preserve"> </w:t>
      </w:r>
      <w:r w:rsidR="00121F63" w:rsidRPr="00497687">
        <w:rPr>
          <w:color w:val="595959" w:themeColor="text1" w:themeTint="A6"/>
        </w:rPr>
        <w:t>45 CFR 155.400; 45 CFR 155.410; 45 CFR 155.420</w:t>
      </w:r>
    </w:p>
    <w:p w14:paraId="72CD24FE" w14:textId="15D3969E" w:rsidR="00121F63" w:rsidRDefault="0001072C" w:rsidP="18F4D121">
      <w:pPr>
        <w:spacing w:line="240" w:lineRule="auto"/>
        <w:jc w:val="both"/>
      </w:pPr>
      <w:r>
        <w:t xml:space="preserve">Insurance companies may not effectuate a consumer's enrollment until the binder payment is paid. Insurance companies are permitted to </w:t>
      </w:r>
      <w:r w:rsidR="00940A03">
        <w:t>implement a</w:t>
      </w:r>
      <w:r>
        <w:t xml:space="preserve"> </w:t>
      </w:r>
      <w:r w:rsidR="00C44F0A">
        <w:t>premium</w:t>
      </w:r>
      <w:r w:rsidR="00E352D0">
        <w:t xml:space="preserve"> </w:t>
      </w:r>
      <w:r>
        <w:t xml:space="preserve">payment threshold </w:t>
      </w:r>
      <w:r w:rsidR="00160E9C">
        <w:t>policy,</w:t>
      </w:r>
      <w:r w:rsidR="00480ADC">
        <w:t xml:space="preserve"> but binder payments commonly consist of the first month’s full premium. Insurance companies can effectuate coverage </w:t>
      </w:r>
      <w:r w:rsidR="00E73902">
        <w:t>once consumer</w:t>
      </w:r>
      <w:r w:rsidR="00600E73">
        <w:t>s</w:t>
      </w:r>
      <w:r w:rsidR="00E73902">
        <w:t xml:space="preserve"> have paid the initial premium within the payment threshold.</w:t>
      </w:r>
      <w:r w:rsidR="00E47386">
        <w:t xml:space="preserve"> Additional information about the premium payment threshold </w:t>
      </w:r>
      <w:r w:rsidR="005277ED">
        <w:t xml:space="preserve">is in </w:t>
      </w:r>
      <w:hyperlink w:anchor="_Premium_Payment_Threshold">
        <w:r w:rsidR="005277ED" w:rsidRPr="18F4D121">
          <w:rPr>
            <w:rStyle w:val="Hyperlink"/>
            <w:i/>
            <w:iCs/>
          </w:rPr>
          <w:t>Section 3.3.1.2</w:t>
        </w:r>
        <w:r w:rsidR="00EB7B71" w:rsidRPr="18F4D121">
          <w:rPr>
            <w:rStyle w:val="Hyperlink"/>
            <w:i/>
            <w:iCs/>
          </w:rPr>
          <w:t xml:space="preserve"> </w:t>
        </w:r>
        <w:r w:rsidR="00D71956" w:rsidRPr="18F4D121">
          <w:rPr>
            <w:rStyle w:val="Hyperlink"/>
            <w:i/>
            <w:iCs/>
          </w:rPr>
          <w:t>Premium Payment Threshold</w:t>
        </w:r>
      </w:hyperlink>
      <w:r w:rsidR="00D71956" w:rsidRPr="18F4D121">
        <w:rPr>
          <w:i/>
          <w:iCs/>
        </w:rPr>
        <w:t>.</w:t>
      </w:r>
    </w:p>
    <w:p w14:paraId="43112274" w14:textId="160FDE35" w:rsidR="00121F63" w:rsidRDefault="00121F63" w:rsidP="18F4D121">
      <w:pPr>
        <w:spacing w:line="240" w:lineRule="auto"/>
        <w:jc w:val="both"/>
      </w:pPr>
      <w:r>
        <w:t xml:space="preserve">Insurance companies may set the deadline for consumers to pay their binder payment no earlier than the coverage effective date, and no later than 30 calendar days after the coverage effective date. During </w:t>
      </w:r>
      <w:r w:rsidR="00212D07">
        <w:t>OE</w:t>
      </w:r>
      <w:r>
        <w:t xml:space="preserve">, coverage begins as stated in </w:t>
      </w:r>
      <w:r w:rsidR="007314A5">
        <w:t xml:space="preserve">the </w:t>
      </w:r>
      <w:r w:rsidR="009A3EC5" w:rsidRPr="18F4D121">
        <w:rPr>
          <w:i/>
          <w:iCs/>
        </w:rPr>
        <w:t xml:space="preserve">Georgia Access Policy Manual: Consumer Eligibility, Enrollment, and </w:t>
      </w:r>
      <w:r w:rsidR="005F5DF5" w:rsidRPr="18F4D121">
        <w:rPr>
          <w:i/>
          <w:iCs/>
        </w:rPr>
        <w:t>Support Policies</w:t>
      </w:r>
      <w:r w:rsidR="001151CF">
        <w:t xml:space="preserve">, found on the Georgia Access </w:t>
      </w:r>
      <w:r w:rsidR="00201FBF">
        <w:t>w</w:t>
      </w:r>
      <w:r w:rsidR="001151CF">
        <w:t>ebsite</w:t>
      </w:r>
      <w:r w:rsidR="005F5DF5">
        <w:t>.</w:t>
      </w:r>
      <w:r>
        <w:t xml:space="preserve"> Ongoing payments after the initial binder payment are due by the last day of the month prior to the month of coverage.</w:t>
      </w:r>
    </w:p>
    <w:p w14:paraId="01A8D512" w14:textId="682A38A6" w:rsidR="00CE4127" w:rsidRDefault="0005232D" w:rsidP="18F4D121">
      <w:pPr>
        <w:spacing w:line="240" w:lineRule="auto"/>
        <w:jc w:val="both"/>
      </w:pPr>
      <w:r>
        <w:lastRenderedPageBreak/>
        <w:t>When</w:t>
      </w:r>
      <w:r w:rsidR="002B34E1">
        <w:t xml:space="preserve"> consumers are eligible for</w:t>
      </w:r>
      <w:r w:rsidR="000F5338">
        <w:t xml:space="preserve"> retroactive coverage</w:t>
      </w:r>
      <w:r w:rsidR="002B34E1">
        <w:t>, i</w:t>
      </w:r>
      <w:r w:rsidR="00C03429">
        <w:t>nsurance companies</w:t>
      </w:r>
      <w:r w:rsidR="00742175">
        <w:t xml:space="preserve"> should e</w:t>
      </w:r>
      <w:r w:rsidR="005E095E">
        <w:t>ffectuate</w:t>
      </w:r>
      <w:r w:rsidR="00396261">
        <w:t xml:space="preserve"> only a consumer’s</w:t>
      </w:r>
      <w:r w:rsidR="005E095E">
        <w:t xml:space="preserve"> prospective coverage </w:t>
      </w:r>
      <w:proofErr w:type="gramStart"/>
      <w:r w:rsidR="005E095E">
        <w:t>if</w:t>
      </w:r>
      <w:proofErr w:type="gramEnd"/>
      <w:r w:rsidR="005E095E">
        <w:t xml:space="preserve"> </w:t>
      </w:r>
      <w:r w:rsidR="00396261">
        <w:t xml:space="preserve">the consumer </w:t>
      </w:r>
      <w:r w:rsidR="005E095E">
        <w:t>pay</w:t>
      </w:r>
      <w:r w:rsidR="00396261">
        <w:t>s</w:t>
      </w:r>
      <w:r w:rsidR="005E095E">
        <w:t xml:space="preserve"> </w:t>
      </w:r>
      <w:r w:rsidR="00396261">
        <w:t xml:space="preserve">only one month’s </w:t>
      </w:r>
      <w:r w:rsidR="005E095E">
        <w:t>premium by the</w:t>
      </w:r>
      <w:r w:rsidR="00841741">
        <w:t xml:space="preserve"> premium</w:t>
      </w:r>
      <w:r w:rsidR="005E095E">
        <w:t xml:space="preserve"> deadline.</w:t>
      </w:r>
    </w:p>
    <w:p w14:paraId="6461EB4A" w14:textId="1E461538" w:rsidR="00C03429" w:rsidRDefault="00121F63" w:rsidP="18F4D121">
      <w:pPr>
        <w:spacing w:line="240" w:lineRule="auto"/>
        <w:jc w:val="both"/>
      </w:pPr>
      <w:r>
        <w:t xml:space="preserve">The insurance company must receive payment in full (or payment within the premium payment threshold) from the consumer for any applicable binder payment by the applicable binder payment deadline. Insurance companies may not grant grace periods for </w:t>
      </w:r>
      <w:r w:rsidR="0005232D">
        <w:t>non-</w:t>
      </w:r>
      <w:r>
        <w:t>payment of the binder payment</w:t>
      </w:r>
      <w:r w:rsidR="006620A9">
        <w:t>.</w:t>
      </w:r>
    </w:p>
    <w:p w14:paraId="61512074" w14:textId="430409C5" w:rsidR="00C97934" w:rsidRPr="00121F63" w:rsidRDefault="187E25A0" w:rsidP="18F4D121">
      <w:pPr>
        <w:spacing w:line="240" w:lineRule="auto"/>
        <w:jc w:val="both"/>
      </w:pPr>
      <w:r>
        <w:t xml:space="preserve">Insurance companies should not terminate/cancel enrollments based on </w:t>
      </w:r>
      <w:r w:rsidR="335640E2">
        <w:t xml:space="preserve">billing or </w:t>
      </w:r>
      <w:r>
        <w:t xml:space="preserve">technical issues with their system. The first part of this (applicable to binder payments) was finalized in </w:t>
      </w:r>
      <w:proofErr w:type="gramStart"/>
      <w:r w:rsidR="7B2400E2">
        <w:t xml:space="preserve">the </w:t>
      </w:r>
      <w:r>
        <w:t>2024</w:t>
      </w:r>
      <w:proofErr w:type="gramEnd"/>
      <w:r>
        <w:t xml:space="preserve"> NBPP, and the second part (applicable to all premium payments) w</w:t>
      </w:r>
      <w:r w:rsidR="0541A339">
        <w:t>as</w:t>
      </w:r>
      <w:r>
        <w:t xml:space="preserve"> finalized in 2025.</w:t>
      </w:r>
    </w:p>
    <w:p w14:paraId="2651FC51" w14:textId="05234955" w:rsidR="00B14424" w:rsidRDefault="00B14424" w:rsidP="00A53E91">
      <w:pPr>
        <w:pStyle w:val="Heading4"/>
        <w:spacing w:line="240" w:lineRule="auto"/>
      </w:pPr>
      <w:bookmarkStart w:id="117" w:name="_Premium_Payment_Threshold"/>
      <w:bookmarkEnd w:id="117"/>
      <w:r>
        <w:t>Premium Payment Threshold</w:t>
      </w:r>
    </w:p>
    <w:p w14:paraId="59DCCFDB" w14:textId="34D919A2" w:rsidR="00F65B4D" w:rsidRDefault="007F0461" w:rsidP="00A53E91">
      <w:pPr>
        <w:spacing w:after="0" w:line="240" w:lineRule="auto"/>
      </w:pPr>
      <w:r>
        <w:rPr>
          <w:rStyle w:val="SubtleReference"/>
        </w:rPr>
        <w:t>A</w:t>
      </w:r>
      <w:r w:rsidR="00982257">
        <w:rPr>
          <w:rStyle w:val="SubtleReference"/>
        </w:rPr>
        <w:t>ssociated federal regulation</w:t>
      </w:r>
      <w:r w:rsidR="00F65B4D">
        <w:rPr>
          <w:rStyle w:val="SubtleReference"/>
        </w:rPr>
        <w:t>:</w:t>
      </w:r>
      <w:r w:rsidR="00F65B4D">
        <w:t xml:space="preserve"> </w:t>
      </w:r>
      <w:r w:rsidR="00F65B4D" w:rsidRPr="00EB74B4">
        <w:rPr>
          <w:color w:val="595959" w:themeColor="text1" w:themeTint="A6"/>
        </w:rPr>
        <w:t>45 CFR 155.400(G)</w:t>
      </w:r>
    </w:p>
    <w:p w14:paraId="071EE85E" w14:textId="4DF895E6" w:rsidR="00F65B4D" w:rsidRDefault="00F65B4D" w:rsidP="18F4D121">
      <w:pPr>
        <w:spacing w:line="240" w:lineRule="auto"/>
        <w:jc w:val="both"/>
      </w:pPr>
      <w:r>
        <w:t>Georgia Access Insurance Companies may implement a premium payment threshold policy for plans offered through Georgia Access. Insurance companies that implement such a policy typically consider a payment to be made in full once the consumer has paid the threshold amount established by the insurance company. The threshold amount is a percentage</w:t>
      </w:r>
      <w:r w:rsidR="574A5938">
        <w:t xml:space="preserve"> of the</w:t>
      </w:r>
      <w:r>
        <w:t xml:space="preserve"> </w:t>
      </w:r>
      <w:r w:rsidR="03FB982A">
        <w:t>net premium after application of APTC.</w:t>
      </w:r>
      <w:r>
        <w:t xml:space="preserve"> An insurance company must maintain the premium payment threshold for the entirety of the plan </w:t>
      </w:r>
      <w:r w:rsidR="0049651C">
        <w:t>year and</w:t>
      </w:r>
      <w:r>
        <w:t xml:space="preserve"> must apply the threshold policy consistently across all Georgia Access plans and consumers.</w:t>
      </w:r>
    </w:p>
    <w:p w14:paraId="656B332D" w14:textId="5112E87A" w:rsidR="00B14424" w:rsidRDefault="00B14424" w:rsidP="00A53E91">
      <w:pPr>
        <w:pStyle w:val="Heading4"/>
        <w:spacing w:line="240" w:lineRule="auto"/>
      </w:pPr>
      <w:r>
        <w:t>Grace Period</w:t>
      </w:r>
      <w:r w:rsidR="001C3345">
        <w:t>s</w:t>
      </w:r>
    </w:p>
    <w:p w14:paraId="3976DD43" w14:textId="3285A942" w:rsidR="00844850" w:rsidRDefault="007F0461" w:rsidP="00A53E91">
      <w:pPr>
        <w:spacing w:after="0" w:line="240" w:lineRule="auto"/>
      </w:pPr>
      <w:r>
        <w:rPr>
          <w:rStyle w:val="SubtleReference"/>
        </w:rPr>
        <w:t>A</w:t>
      </w:r>
      <w:r w:rsidR="002E4050">
        <w:rPr>
          <w:rStyle w:val="SubtleReference"/>
        </w:rPr>
        <w:t>ssociated federal regulation</w:t>
      </w:r>
      <w:r w:rsidR="00844850">
        <w:rPr>
          <w:rStyle w:val="SubtleReference"/>
        </w:rPr>
        <w:t>:</w:t>
      </w:r>
      <w:r w:rsidR="00844850">
        <w:t xml:space="preserve"> </w:t>
      </w:r>
      <w:r w:rsidR="00844850" w:rsidRPr="00EB74B4">
        <w:rPr>
          <w:color w:val="595959" w:themeColor="text1" w:themeTint="A6"/>
        </w:rPr>
        <w:t>45 CFR 155.430; 45 CFR 156.270(D)</w:t>
      </w:r>
      <w:r w:rsidR="00704BC6">
        <w:rPr>
          <w:color w:val="595959" w:themeColor="text1" w:themeTint="A6"/>
        </w:rPr>
        <w:t>; 45 CFR 156.270</w:t>
      </w:r>
      <w:r w:rsidR="00844850" w:rsidRPr="00EB74B4">
        <w:rPr>
          <w:color w:val="595959" w:themeColor="text1" w:themeTint="A6"/>
        </w:rPr>
        <w:t>(G)</w:t>
      </w:r>
    </w:p>
    <w:p w14:paraId="3BC1C51E" w14:textId="0067866B" w:rsidR="009F6E74" w:rsidRDefault="00171307" w:rsidP="18F4D121">
      <w:pPr>
        <w:spacing w:line="240" w:lineRule="auto"/>
        <w:jc w:val="both"/>
      </w:pPr>
      <w:r>
        <w:t xml:space="preserve">Insurance companies </w:t>
      </w:r>
      <w:r w:rsidR="00123B63">
        <w:t xml:space="preserve">must grant consumers with effectuated coverage </w:t>
      </w:r>
      <w:r w:rsidR="00757FE2">
        <w:t xml:space="preserve">grace periods </w:t>
      </w:r>
      <w:r w:rsidR="00123B63">
        <w:t xml:space="preserve">before terminating their coverage for non-payment. </w:t>
      </w:r>
      <w:r w:rsidR="00D67B8D">
        <w:t xml:space="preserve">If the </w:t>
      </w:r>
      <w:r w:rsidR="00264047">
        <w:t>premium payment</w:t>
      </w:r>
      <w:r w:rsidR="00D67B8D">
        <w:t xml:space="preserve"> has not been received by the insurance company on or before the 30</w:t>
      </w:r>
      <w:r w:rsidR="00D67B8D" w:rsidRPr="18F4D121">
        <w:rPr>
          <w:vertAlign w:val="superscript"/>
        </w:rPr>
        <w:t>th</w:t>
      </w:r>
      <w:r w:rsidR="00D67B8D">
        <w:t xml:space="preserve"> day of the coverage month, a grace period is triggered.</w:t>
      </w:r>
    </w:p>
    <w:p w14:paraId="0F36B7F8" w14:textId="12345CD7" w:rsidR="009F6E74" w:rsidRPr="006103D1" w:rsidRDefault="009A79B2" w:rsidP="18F4D121">
      <w:pPr>
        <w:spacing w:line="240" w:lineRule="auto"/>
        <w:jc w:val="both"/>
      </w:pPr>
      <w:r>
        <w:t>I</w:t>
      </w:r>
      <w:r w:rsidR="009F6E74">
        <w:t>nsurance companies must pay all appropriate claims for services rendered to consumer</w:t>
      </w:r>
      <w:r>
        <w:t>s receiving APTCs</w:t>
      </w:r>
      <w:r w:rsidR="009F6E74">
        <w:t xml:space="preserve"> during the first month of the grace period and may pend claims for services rendered to the consumer in the second and third months of the grace period. Insurance companies must notify providers of the possibility for denied claims when a consumer </w:t>
      </w:r>
      <w:r w:rsidR="006967F7">
        <w:t xml:space="preserve">receiving APTCs </w:t>
      </w:r>
      <w:r w:rsidR="009F6E74">
        <w:t xml:space="preserve">is in the second and third months of the grace period. </w:t>
      </w:r>
    </w:p>
    <w:p w14:paraId="271D248D" w14:textId="5C6B7EB3" w:rsidR="00171307" w:rsidRDefault="00A11508" w:rsidP="18F4D121">
      <w:pPr>
        <w:spacing w:line="240" w:lineRule="auto"/>
        <w:jc w:val="both"/>
      </w:pPr>
      <w:r>
        <w:t xml:space="preserve">Insurance companies </w:t>
      </w:r>
      <w:r w:rsidR="00AB5DDB">
        <w:t>can</w:t>
      </w:r>
      <w:r>
        <w:t xml:space="preserve"> deny any claims that were pended for services received </w:t>
      </w:r>
      <w:r w:rsidR="008801B5">
        <w:t xml:space="preserve">during the second and third months of the grace period </w:t>
      </w:r>
      <w:r w:rsidR="007054DB">
        <w:t xml:space="preserve">if the </w:t>
      </w:r>
      <w:r w:rsidR="00401DDD">
        <w:t xml:space="preserve">consumer’s coverage is terminated for non-payment of premiums retroactively to the last </w:t>
      </w:r>
      <w:proofErr w:type="gramStart"/>
      <w:r w:rsidR="00401DDD">
        <w:t>day of the first month</w:t>
      </w:r>
      <w:proofErr w:type="gramEnd"/>
      <w:r w:rsidR="00401DDD">
        <w:t xml:space="preserve"> of the grace period. However, insurance companies </w:t>
      </w:r>
      <w:r w:rsidR="00AB5DDB">
        <w:t xml:space="preserve">cannot retroactively deny claims from the first month of the grace period. </w:t>
      </w:r>
      <w:r w:rsidR="009F6E74">
        <w:t>Any premium payments received by an insurance company for coverage beyond the retroactive termination date are refunded to the consumer.</w:t>
      </w:r>
    </w:p>
    <w:p w14:paraId="4C045332" w14:textId="11BD5815" w:rsidR="00757FE2" w:rsidRDefault="00757FE2" w:rsidP="18F4D121">
      <w:pPr>
        <w:spacing w:line="240" w:lineRule="auto"/>
        <w:jc w:val="both"/>
      </w:pPr>
      <w:r>
        <w:t>Further information on Georgia Access’</w:t>
      </w:r>
      <w:r w:rsidR="008D286E">
        <w:t>s</w:t>
      </w:r>
      <w:r>
        <w:t xml:space="preserve"> policies related to grace periods </w:t>
      </w:r>
      <w:r w:rsidR="009F6E74">
        <w:t xml:space="preserve">and the payment of medical claims incurred during the grace period </w:t>
      </w:r>
      <w:r>
        <w:t xml:space="preserve">are detailed in the </w:t>
      </w:r>
      <w:r w:rsidRPr="18F4D121">
        <w:rPr>
          <w:i/>
          <w:iCs/>
        </w:rPr>
        <w:t>Georgia Access Policy Manual: Consumer Eligibility, Enrollment, and Support Policies</w:t>
      </w:r>
      <w:r w:rsidR="00204E6D">
        <w:t>, found</w:t>
      </w:r>
      <w:r w:rsidR="001A7689" w:rsidRPr="18F4D121">
        <w:rPr>
          <w:i/>
          <w:iCs/>
        </w:rPr>
        <w:t xml:space="preserve"> </w:t>
      </w:r>
      <w:r w:rsidR="001A7689">
        <w:t>on the Georgia Access website</w:t>
      </w:r>
      <w:r>
        <w:t>.</w:t>
      </w:r>
    </w:p>
    <w:p w14:paraId="41E556E2" w14:textId="30E2DD09" w:rsidR="006620A9" w:rsidRDefault="006620A9" w:rsidP="00A53E91">
      <w:pPr>
        <w:pStyle w:val="Heading3"/>
        <w:spacing w:line="240" w:lineRule="auto"/>
      </w:pPr>
      <w:bookmarkStart w:id="118" w:name="_Toc209003073"/>
      <w:r>
        <w:t>Disenrollment</w:t>
      </w:r>
      <w:bookmarkEnd w:id="118"/>
    </w:p>
    <w:p w14:paraId="208AC7DB" w14:textId="06B732A5" w:rsidR="005968F8" w:rsidRPr="0034687C" w:rsidRDefault="007F0461" w:rsidP="00A53E91">
      <w:pPr>
        <w:spacing w:line="240" w:lineRule="auto"/>
        <w:ind w:right="3"/>
        <w:contextualSpacing/>
        <w:rPr>
          <w:i/>
          <w:sz w:val="20"/>
          <w:szCs w:val="20"/>
        </w:rPr>
      </w:pPr>
      <w:r>
        <w:rPr>
          <w:smallCaps/>
          <w:color w:val="5A5A5A" w:themeColor="text1" w:themeTint="A5"/>
        </w:rPr>
        <w:t>A</w:t>
      </w:r>
      <w:r w:rsidR="005968F8" w:rsidRPr="0034687C">
        <w:rPr>
          <w:smallCaps/>
          <w:color w:val="5A5A5A" w:themeColor="text1" w:themeTint="A5"/>
        </w:rPr>
        <w:t>ssociated federal regulation: 45 CFR 162.1501; 45 CFR 155.430</w:t>
      </w:r>
      <w:r w:rsidR="005968F8" w:rsidRPr="0034687C">
        <w:rPr>
          <w:i/>
          <w:sz w:val="20"/>
          <w:szCs w:val="20"/>
        </w:rPr>
        <w:t xml:space="preserve">  </w:t>
      </w:r>
    </w:p>
    <w:p w14:paraId="0721CFD0" w14:textId="5224C69B" w:rsidR="005968F8" w:rsidRDefault="5BF7A79B" w:rsidP="18F4D121">
      <w:pPr>
        <w:spacing w:line="240" w:lineRule="auto"/>
        <w:jc w:val="both"/>
      </w:pPr>
      <w:r>
        <w:t>I</w:t>
      </w:r>
      <w:r w:rsidR="54F498E3">
        <w:t>nsurance compan</w:t>
      </w:r>
      <w:r>
        <w:t>ies</w:t>
      </w:r>
      <w:r w:rsidR="54F498E3">
        <w:t xml:space="preserve"> </w:t>
      </w:r>
      <w:r w:rsidR="0FD20713">
        <w:t>may</w:t>
      </w:r>
      <w:r w:rsidR="54F498E3">
        <w:t xml:space="preserve"> disenroll consumer</w:t>
      </w:r>
      <w:r w:rsidR="0FD20713">
        <w:t>s</w:t>
      </w:r>
      <w:r w:rsidR="706458F0">
        <w:t xml:space="preserve"> for non-payment. C</w:t>
      </w:r>
      <w:r w:rsidR="54F498E3">
        <w:t>onsumer</w:t>
      </w:r>
      <w:r w:rsidR="0FD20713">
        <w:t>s</w:t>
      </w:r>
      <w:r w:rsidR="54F498E3">
        <w:t xml:space="preserve"> </w:t>
      </w:r>
      <w:r w:rsidR="0FD20713">
        <w:t>may</w:t>
      </w:r>
      <w:r w:rsidR="54F498E3">
        <w:t xml:space="preserve"> voluntarily disenroll and set the date for the end of the current month, next month, or the following month. The disenrollment date is always the last day of the month unless </w:t>
      </w:r>
      <w:r w:rsidR="0FD20713">
        <w:t>the enrollment</w:t>
      </w:r>
      <w:r w:rsidR="54F498E3">
        <w:t xml:space="preserve"> is due to death (in which case, disenrollment is one day after the date of death).</w:t>
      </w:r>
    </w:p>
    <w:p w14:paraId="372E1B55" w14:textId="129080D8" w:rsidR="005968F8" w:rsidRPr="0034687C" w:rsidRDefault="19F50E87" w:rsidP="18F4D121">
      <w:pPr>
        <w:spacing w:line="240" w:lineRule="auto"/>
        <w:jc w:val="both"/>
      </w:pPr>
      <w:r>
        <w:lastRenderedPageBreak/>
        <w:t xml:space="preserve">The Georgia Access Eligibility System </w:t>
      </w:r>
      <w:r w:rsidR="0FD20713">
        <w:t>may</w:t>
      </w:r>
      <w:r w:rsidR="5CBC403B">
        <w:t xml:space="preserve"> disenroll consumers who fail to provide required verifications by </w:t>
      </w:r>
      <w:r w:rsidR="66940E16">
        <w:t>the</w:t>
      </w:r>
      <w:r w:rsidR="5CBC403B">
        <w:t xml:space="preserve"> specified deadline</w:t>
      </w:r>
      <w:r w:rsidR="0FD20713">
        <w:t xml:space="preserve">; </w:t>
      </w:r>
      <w:r w:rsidR="1AF874EE">
        <w:t xml:space="preserve">these </w:t>
      </w:r>
      <w:r w:rsidR="0FD20713">
        <w:t>consumers</w:t>
      </w:r>
      <w:r w:rsidR="5CBC403B">
        <w:t xml:space="preserve"> </w:t>
      </w:r>
      <w:r w:rsidR="1AF874EE">
        <w:t>should</w:t>
      </w:r>
      <w:r w:rsidR="5CBC403B">
        <w:t xml:space="preserve"> be disenrolled on the last day of the month following the deadline.</w:t>
      </w:r>
    </w:p>
    <w:p w14:paraId="68E65B5E" w14:textId="15BC0EFD" w:rsidR="00DC7838" w:rsidRDefault="54F498E3" w:rsidP="18F4D121">
      <w:pPr>
        <w:spacing w:line="240" w:lineRule="auto"/>
        <w:jc w:val="both"/>
      </w:pPr>
      <w:r>
        <w:t xml:space="preserve">Updated termination dates on enrollments are only applied through insurance company or consumer requests and then escalated to the Georgia Access Contact Center. </w:t>
      </w:r>
      <w:r w:rsidR="000336DB">
        <w:t>All requests for change in termination effective dates are processed based on limitations set forth in 45 CFR 155.430, regarding reasonable notice.</w:t>
      </w:r>
    </w:p>
    <w:p w14:paraId="422AB23E" w14:textId="184A1E09" w:rsidR="00BA2F9C" w:rsidRDefault="00BA2F9C" w:rsidP="4B395404">
      <w:pPr>
        <w:spacing w:line="240" w:lineRule="auto"/>
        <w:jc w:val="both"/>
      </w:pPr>
      <w:r>
        <w:t>Georgia Access does not follow the Federally Facilitated Exchange (FFE) cancel carry forward process. If the current plan year non-payment termination or cancelation or voluntary termination by the consumer occurs after the auto-renewal period, which typically takes place in October, the auto-renewed enrollment may not be canceled by the insurance company. Consumers who are auto renewed must take direct action to cancel coverage for the upcoming plan year.</w:t>
      </w:r>
    </w:p>
    <w:p w14:paraId="10F34850" w14:textId="1061962D" w:rsidR="00BA2F9C" w:rsidRDefault="00BA2F9C" w:rsidP="4B395404">
      <w:pPr>
        <w:spacing w:line="240" w:lineRule="auto"/>
        <w:jc w:val="both"/>
      </w:pPr>
      <w:r>
        <w:t>This policy applies to all issuers participating in Georgia Access and governs the handling of cancellations to ensure consistency in consumer responsibility across plan years. This ensures consumers remain in control of their coverage decisions and aligns with the guidance provided on the Georgia Access website regarding plan changes and cancellations.</w:t>
      </w:r>
    </w:p>
    <w:p w14:paraId="2C4B6865" w14:textId="32B40853" w:rsidR="4B395404" w:rsidRDefault="4B395404" w:rsidP="4B395404">
      <w:pPr>
        <w:spacing w:line="240" w:lineRule="auto"/>
        <w:jc w:val="both"/>
      </w:pPr>
    </w:p>
    <w:p w14:paraId="40B1EE85" w14:textId="1668C7A4" w:rsidR="006620A9" w:rsidRDefault="00891BCD" w:rsidP="00A53E91">
      <w:pPr>
        <w:pStyle w:val="Heading4"/>
        <w:spacing w:line="240" w:lineRule="auto"/>
      </w:pPr>
      <w:r>
        <w:t>Reinstatement</w:t>
      </w:r>
    </w:p>
    <w:p w14:paraId="00964E94" w14:textId="008F1E6F" w:rsidR="00FF0E66" w:rsidRPr="0034687C" w:rsidRDefault="4E7F3BAC" w:rsidP="18F4D121">
      <w:pPr>
        <w:spacing w:line="240" w:lineRule="auto"/>
        <w:jc w:val="both"/>
      </w:pPr>
      <w:r>
        <w:t>Consumers may request reinstatement</w:t>
      </w:r>
      <w:r w:rsidR="3F053F96">
        <w:t xml:space="preserve"> for cases of non-payment or insurance company error.</w:t>
      </w:r>
      <w:r w:rsidR="35DD8BEC">
        <w:t xml:space="preserve"> </w:t>
      </w:r>
      <w:r w:rsidR="385D2743">
        <w:t xml:space="preserve">In the case of insurance company </w:t>
      </w:r>
      <w:proofErr w:type="gramStart"/>
      <w:r w:rsidR="385D2743">
        <w:t>error</w:t>
      </w:r>
      <w:proofErr w:type="gramEnd"/>
      <w:r w:rsidR="385D2743">
        <w:t>, i</w:t>
      </w:r>
      <w:r w:rsidR="3F053F96">
        <w:t xml:space="preserve">nsurance companies are allowed to reinstate coverage if the coverage termination date falls within the last 90 days. If the date is more than 90 days in the past, insurance companies are required to submit the consumer reinstatement request via </w:t>
      </w:r>
      <w:r w:rsidR="3011601A">
        <w:t>the</w:t>
      </w:r>
      <w:r w:rsidR="3F053F96">
        <w:t xml:space="preserve"> Georgia Access Contact Center for review and approval prior to reinstatement.</w:t>
      </w:r>
    </w:p>
    <w:p w14:paraId="215144E1" w14:textId="6142E764" w:rsidR="00FF0E66" w:rsidRPr="0034687C" w:rsidRDefault="00FF0E66" w:rsidP="18F4D121">
      <w:pPr>
        <w:spacing w:line="240" w:lineRule="auto"/>
        <w:jc w:val="both"/>
      </w:pPr>
      <w:r>
        <w:t xml:space="preserve">When the insurance company is allowed to reinstate coverage, they may activate coverage but must submit a ticket immediately to the Georgia Access Contact Center to ensure the consumer’s eligibility is updated in the Georgia Access Eligibility System. The ticket must be submitted within </w:t>
      </w:r>
      <w:r w:rsidR="00DA0643">
        <w:t>two</w:t>
      </w:r>
      <w:r>
        <w:t xml:space="preserve"> business days of processing the reinstatement.</w:t>
      </w:r>
    </w:p>
    <w:p w14:paraId="48AEFF0E" w14:textId="14BD7560" w:rsidR="00493186" w:rsidRDefault="3F053F96" w:rsidP="18F4D121">
      <w:pPr>
        <w:spacing w:line="240" w:lineRule="auto"/>
        <w:jc w:val="both"/>
      </w:pPr>
      <w:r>
        <w:t xml:space="preserve">Georgia Access </w:t>
      </w:r>
      <w:r w:rsidR="54F73A42">
        <w:t>does</w:t>
      </w:r>
      <w:r>
        <w:t xml:space="preserve"> not reinstate coverage without a documented error or exceptional circumstance such as consumer error, system or agency error, natural disaster, or domestic abuse.</w:t>
      </w:r>
      <w:r w:rsidR="2FCFEF63">
        <w:t xml:space="preserve"> </w:t>
      </w:r>
    </w:p>
    <w:p w14:paraId="27457469" w14:textId="4768B1F7" w:rsidR="001F0FD6" w:rsidRDefault="001F0FD6" w:rsidP="18F4D121">
      <w:pPr>
        <w:spacing w:line="240" w:lineRule="auto"/>
        <w:jc w:val="both"/>
      </w:pPr>
      <w:r>
        <w:t xml:space="preserve">Further information on Georgia Access’ policies related to reinstatement are detailed in the </w:t>
      </w:r>
      <w:r w:rsidRPr="18F4D121">
        <w:rPr>
          <w:i/>
          <w:iCs/>
        </w:rPr>
        <w:t>Georgia Access Policy Manual: Consumer Eligibility, Enrollment, and Support Policie</w:t>
      </w:r>
      <w:r w:rsidR="001151CF" w:rsidRPr="18F4D121">
        <w:rPr>
          <w:i/>
          <w:iCs/>
        </w:rPr>
        <w:t xml:space="preserve">s, </w:t>
      </w:r>
      <w:r w:rsidR="001151CF">
        <w:t xml:space="preserve">found on the Georgia Access </w:t>
      </w:r>
      <w:r w:rsidR="00201FBF">
        <w:t>w</w:t>
      </w:r>
      <w:r w:rsidR="001151CF">
        <w:t>ebsite</w:t>
      </w:r>
      <w:r>
        <w:t>.</w:t>
      </w:r>
    </w:p>
    <w:p w14:paraId="69DFE89E" w14:textId="2707BF96" w:rsidR="00793BD3" w:rsidRDefault="00793BD3" w:rsidP="00A53E91">
      <w:pPr>
        <w:pStyle w:val="Heading4"/>
        <w:spacing w:line="240" w:lineRule="auto"/>
      </w:pPr>
      <w:r>
        <w:t>Re-Enrollment Following Termination for Non-Payment</w:t>
      </w:r>
    </w:p>
    <w:p w14:paraId="47C43D1E" w14:textId="137FE13C" w:rsidR="005721A5" w:rsidRPr="0034687C" w:rsidRDefault="007F0461" w:rsidP="00A53E91">
      <w:pPr>
        <w:spacing w:line="240" w:lineRule="auto"/>
        <w:contextualSpacing/>
        <w:rPr>
          <w:smallCaps/>
          <w:color w:val="5A5A5A" w:themeColor="text1" w:themeTint="A5"/>
        </w:rPr>
      </w:pPr>
      <w:r>
        <w:rPr>
          <w:smallCaps/>
          <w:color w:val="5A5A5A" w:themeColor="text1" w:themeTint="A5"/>
        </w:rPr>
        <w:t>A</w:t>
      </w:r>
      <w:r w:rsidR="005721A5" w:rsidRPr="0034687C">
        <w:rPr>
          <w:smallCaps/>
          <w:color w:val="5A5A5A" w:themeColor="text1" w:themeTint="A5"/>
        </w:rPr>
        <w:t>ssociated federal regulation: 45 CFR 155.400 (1)(i</w:t>
      </w:r>
      <w:r w:rsidR="00A155EE">
        <w:rPr>
          <w:smallCaps/>
          <w:color w:val="5A5A5A" w:themeColor="text1" w:themeTint="A5"/>
        </w:rPr>
        <w:t>ii</w:t>
      </w:r>
      <w:r w:rsidR="005721A5" w:rsidRPr="0034687C">
        <w:rPr>
          <w:smallCaps/>
          <w:color w:val="5A5A5A" w:themeColor="text1" w:themeTint="A5"/>
        </w:rPr>
        <w:t xml:space="preserve">); 45 CFR 147.104-5 </w:t>
      </w:r>
    </w:p>
    <w:p w14:paraId="4B793A39" w14:textId="26F3CA09" w:rsidR="00793BD3" w:rsidRPr="00793BD3" w:rsidRDefault="005721A5" w:rsidP="18F4D121">
      <w:pPr>
        <w:spacing w:line="240" w:lineRule="auto"/>
        <w:jc w:val="both"/>
      </w:pPr>
      <w:r>
        <w:t>Insurance companies may require</w:t>
      </w:r>
      <w:r w:rsidR="00592AC0">
        <w:t xml:space="preserve"> the</w:t>
      </w:r>
      <w:r>
        <w:t xml:space="preserve"> </w:t>
      </w:r>
      <w:r w:rsidR="00212704">
        <w:t xml:space="preserve">repayment of unpaid delinquent premiums </w:t>
      </w:r>
      <w:proofErr w:type="gramStart"/>
      <w:r w:rsidR="00212704">
        <w:t>due up</w:t>
      </w:r>
      <w:proofErr w:type="gramEnd"/>
      <w:r w:rsidR="00212704">
        <w:t xml:space="preserve"> to 12 months prior to effectuation of the new policy for consumers whose plans we</w:t>
      </w:r>
      <w:r w:rsidR="00592AC0">
        <w:t xml:space="preserve">re previously terminated for non-payment of premiums. </w:t>
      </w:r>
      <w:r w:rsidR="002250A0">
        <w:t xml:space="preserve">The insurance company may extend the binder payment deadline while the consumer makes payments on the delinquency. Insurance companies may terminate coverage for a consumer’s failure to complete the repayment option with the insurance company. </w:t>
      </w:r>
    </w:p>
    <w:p w14:paraId="0E00BAAB" w14:textId="4DAFF05E" w:rsidR="006E1B41" w:rsidRPr="005550A2" w:rsidRDefault="000336DB" w:rsidP="42C471D9">
      <w:pPr>
        <w:pStyle w:val="Heading3"/>
        <w:rPr>
          <w:i/>
          <w:iCs/>
        </w:rPr>
      </w:pPr>
      <w:bookmarkStart w:id="119" w:name="_Toc209003074"/>
      <w:r w:rsidRPr="42C471D9">
        <w:rPr>
          <w:i/>
          <w:iCs/>
        </w:rPr>
        <w:lastRenderedPageBreak/>
        <w:t>Changes in Coverage Effective Dates</w:t>
      </w:r>
      <w:bookmarkEnd w:id="119"/>
      <w:r w:rsidR="006E1B41" w:rsidRPr="42C471D9">
        <w:rPr>
          <w:i/>
          <w:iCs/>
        </w:rPr>
        <w:t xml:space="preserve"> </w:t>
      </w:r>
    </w:p>
    <w:p w14:paraId="10859355" w14:textId="1E950945" w:rsidR="0215690A" w:rsidRDefault="000336DB" w:rsidP="18F4D121">
      <w:pPr>
        <w:spacing w:line="240" w:lineRule="auto"/>
        <w:jc w:val="both"/>
      </w:pPr>
      <w:proofErr w:type="gramStart"/>
      <w:r>
        <w:t>Changes in coverage effective dates are initiated by the Exchange, and issuers cannot change the coverage effective</w:t>
      </w:r>
      <w:proofErr w:type="gramEnd"/>
      <w:r>
        <w:t xml:space="preserve"> date without receiving a transaction from the state.</w:t>
      </w:r>
    </w:p>
    <w:p w14:paraId="1F775B3D" w14:textId="1FF27824" w:rsidR="00697949" w:rsidRDefault="002C6514" w:rsidP="00BE3989">
      <w:pPr>
        <w:pStyle w:val="Heading4"/>
      </w:pPr>
      <w:r w:rsidRPr="002C6514">
        <w:t>Age Rating and Re-Rating Scenarios</w:t>
      </w:r>
    </w:p>
    <w:p w14:paraId="7D03F92C" w14:textId="77777777" w:rsidR="00F92161" w:rsidRPr="00F92161" w:rsidRDefault="00F92161" w:rsidP="18F4D121">
      <w:pPr>
        <w:pStyle w:val="xmsonormal"/>
        <w:shd w:val="clear" w:color="auto" w:fill="FFFFFF" w:themeFill="background1"/>
        <w:spacing w:before="0" w:beforeAutospacing="0" w:after="0" w:afterAutospacing="0"/>
        <w:jc w:val="both"/>
        <w:rPr>
          <w:rFonts w:asciiTheme="minorHAnsi" w:hAnsiTheme="minorHAnsi" w:cstheme="minorBidi"/>
          <w:color w:val="242424"/>
        </w:rPr>
      </w:pPr>
      <w:r w:rsidRPr="18F4D121">
        <w:rPr>
          <w:rFonts w:asciiTheme="minorHAnsi" w:hAnsiTheme="minorHAnsi" w:cstheme="minorBidi"/>
          <w:color w:val="242424"/>
          <w:sz w:val="22"/>
          <w:szCs w:val="22"/>
          <w:bdr w:val="none" w:sz="0" w:space="0" w:color="auto" w:frame="1"/>
        </w:rPr>
        <w:t>Age rating is a key factor in determining a consumer’s monthly premium and is based on the consumer’s age as of the plan’s effective date. Georgia Access will re-rate when specific enrollment events occur. This section outlines when re-rating is required, when it is not, and provides examples to support consistent application across all enrollments.</w:t>
      </w:r>
    </w:p>
    <w:p w14:paraId="658FC8B2" w14:textId="77777777" w:rsidR="00533F5B" w:rsidRDefault="00533F5B" w:rsidP="00F92161">
      <w:pPr>
        <w:pStyle w:val="xmsonormal"/>
        <w:shd w:val="clear" w:color="auto" w:fill="FFFFFF"/>
        <w:spacing w:before="0" w:beforeAutospacing="0" w:after="0" w:afterAutospacing="0"/>
        <w:rPr>
          <w:rFonts w:asciiTheme="minorHAnsi" w:hAnsiTheme="minorHAnsi" w:cstheme="minorHAnsi"/>
          <w:color w:val="242424"/>
          <w:sz w:val="22"/>
          <w:szCs w:val="22"/>
          <w:bdr w:val="none" w:sz="0" w:space="0" w:color="auto" w:frame="1"/>
        </w:rPr>
      </w:pPr>
    </w:p>
    <w:p w14:paraId="12370C93" w14:textId="6486042C" w:rsidR="0011775A" w:rsidRDefault="00F92161" w:rsidP="00F92161">
      <w:pPr>
        <w:pStyle w:val="xmsonormal"/>
        <w:shd w:val="clear" w:color="auto" w:fill="FFFFFF"/>
        <w:spacing w:before="0" w:beforeAutospacing="0" w:after="0" w:afterAutospacing="0"/>
        <w:rPr>
          <w:rFonts w:asciiTheme="minorHAnsi" w:hAnsiTheme="minorHAnsi" w:cstheme="minorHAnsi"/>
          <w:color w:val="242424"/>
        </w:rPr>
      </w:pPr>
      <w:r w:rsidRPr="00F92161">
        <w:rPr>
          <w:rFonts w:asciiTheme="minorHAnsi" w:hAnsiTheme="minorHAnsi" w:cstheme="minorHAnsi"/>
          <w:color w:val="242424"/>
          <w:sz w:val="22"/>
          <w:szCs w:val="22"/>
          <w:bdr w:val="none" w:sz="0" w:space="0" w:color="auto" w:frame="1"/>
        </w:rPr>
        <w:t>Each scenario below includes a summary, the re-rating requirement, and a representative example</w:t>
      </w:r>
      <w:r w:rsidR="00BC256D">
        <w:rPr>
          <w:rFonts w:asciiTheme="minorHAnsi" w:hAnsiTheme="minorHAnsi" w:cstheme="minorHAnsi"/>
          <w:color w:val="242424"/>
          <w:sz w:val="22"/>
          <w:szCs w:val="22"/>
          <w:bdr w:val="none" w:sz="0" w:space="0" w:color="auto" w:frame="1"/>
        </w:rPr>
        <w:t>:</w:t>
      </w:r>
    </w:p>
    <w:p w14:paraId="3162DC78" w14:textId="77777777" w:rsidR="005550A2" w:rsidRPr="005550A2" w:rsidRDefault="005550A2" w:rsidP="00F92161">
      <w:pPr>
        <w:pStyle w:val="xmsonormal"/>
        <w:shd w:val="clear" w:color="auto" w:fill="FFFFFF"/>
        <w:spacing w:before="0" w:beforeAutospacing="0" w:after="0" w:afterAutospacing="0"/>
        <w:rPr>
          <w:rFonts w:asciiTheme="minorHAnsi" w:hAnsiTheme="minorHAnsi" w:cstheme="minorHAnsi"/>
          <w:color w:val="242424"/>
        </w:rPr>
      </w:pPr>
    </w:p>
    <w:p w14:paraId="6D5C5EF7" w14:textId="267FDC66" w:rsidR="00F92161" w:rsidRPr="00FA5BE3" w:rsidRDefault="00F92161" w:rsidP="00F92161">
      <w:pPr>
        <w:pStyle w:val="xmsonormal"/>
        <w:shd w:val="clear" w:color="auto" w:fill="FFFFFF"/>
        <w:spacing w:before="0" w:beforeAutospacing="0" w:after="0" w:afterAutospacing="0"/>
        <w:rPr>
          <w:rFonts w:asciiTheme="minorHAnsi" w:hAnsiTheme="minorHAnsi" w:cstheme="minorHAnsi"/>
          <w:i/>
          <w:iCs/>
          <w:color w:val="242424"/>
        </w:rPr>
      </w:pPr>
      <w:r w:rsidRPr="00FA5BE3">
        <w:rPr>
          <w:rFonts w:asciiTheme="minorHAnsi" w:hAnsiTheme="minorHAnsi" w:cstheme="minorHAnsi"/>
          <w:i/>
          <w:iCs/>
          <w:color w:val="242424"/>
          <w:sz w:val="22"/>
          <w:szCs w:val="22"/>
          <w:bdr w:val="none" w:sz="0" w:space="0" w:color="auto" w:frame="1"/>
        </w:rPr>
        <w:t>Renewal</w:t>
      </w:r>
    </w:p>
    <w:p w14:paraId="0BB41E8C" w14:textId="77777777" w:rsidR="00F92161" w:rsidRPr="00FA5BE3" w:rsidRDefault="00F92161" w:rsidP="008E39B8">
      <w:pPr>
        <w:pStyle w:val="xmsonormal"/>
        <w:numPr>
          <w:ilvl w:val="0"/>
          <w:numId w:val="41"/>
        </w:numPr>
        <w:shd w:val="clear" w:color="auto" w:fill="FFFFFF"/>
        <w:spacing w:before="0" w:beforeAutospacing="0" w:after="0" w:afterAutospacing="0"/>
        <w:rPr>
          <w:rFonts w:asciiTheme="minorHAnsi" w:hAnsiTheme="minorHAnsi" w:cstheme="minorHAnsi"/>
          <w:i/>
          <w:iCs/>
          <w:color w:val="242424"/>
        </w:rPr>
      </w:pPr>
      <w:r w:rsidRPr="00FA5BE3">
        <w:rPr>
          <w:rFonts w:asciiTheme="minorHAnsi" w:hAnsiTheme="minorHAnsi" w:cstheme="minorHAnsi"/>
          <w:i/>
          <w:iCs/>
          <w:color w:val="242424"/>
          <w:sz w:val="22"/>
          <w:szCs w:val="22"/>
          <w:bdr w:val="none" w:sz="0" w:space="0" w:color="auto" w:frame="1"/>
        </w:rPr>
        <w:t>Re-Rate Required: </w:t>
      </w:r>
      <w:r w:rsidRPr="00FA5BE3">
        <w:rPr>
          <w:rFonts w:asciiTheme="minorHAnsi" w:hAnsiTheme="minorHAnsi" w:cstheme="minorHAnsi"/>
          <w:color w:val="242424"/>
          <w:sz w:val="22"/>
          <w:szCs w:val="22"/>
          <w:bdr w:val="none" w:sz="0" w:space="0" w:color="auto" w:frame="1"/>
        </w:rPr>
        <w:t>Yes</w:t>
      </w:r>
    </w:p>
    <w:p w14:paraId="18049B3B" w14:textId="5813347F" w:rsidR="00F92161" w:rsidRPr="00F92161" w:rsidRDefault="00F92161" w:rsidP="008E39B8">
      <w:pPr>
        <w:pStyle w:val="xmsonormal"/>
        <w:numPr>
          <w:ilvl w:val="0"/>
          <w:numId w:val="41"/>
        </w:numPr>
        <w:shd w:val="clear" w:color="auto" w:fill="FFFFFF"/>
        <w:spacing w:before="0" w:beforeAutospacing="0" w:after="0" w:afterAutospacing="0"/>
        <w:rPr>
          <w:rFonts w:asciiTheme="minorHAnsi" w:hAnsiTheme="minorHAnsi" w:cstheme="minorHAnsi"/>
          <w:color w:val="242424"/>
        </w:rPr>
      </w:pPr>
      <w:r w:rsidRPr="00FA5BE3">
        <w:rPr>
          <w:rFonts w:asciiTheme="minorHAnsi" w:hAnsiTheme="minorHAnsi" w:cstheme="minorHAnsi"/>
          <w:i/>
          <w:iCs/>
          <w:color w:val="242424"/>
          <w:sz w:val="22"/>
          <w:szCs w:val="22"/>
          <w:bdr w:val="none" w:sz="0" w:space="0" w:color="auto" w:frame="1"/>
        </w:rPr>
        <w:t>Example:</w:t>
      </w:r>
      <w:r w:rsidRPr="00F92161">
        <w:rPr>
          <w:rFonts w:asciiTheme="minorHAnsi" w:hAnsiTheme="minorHAnsi" w:cstheme="minorHAnsi"/>
          <w:color w:val="242424"/>
          <w:sz w:val="22"/>
          <w:szCs w:val="22"/>
          <w:bdr w:val="none" w:sz="0" w:space="0" w:color="auto" w:frame="1"/>
        </w:rPr>
        <w:t xml:space="preserve"> A </w:t>
      </w:r>
      <w:proofErr w:type="gramStart"/>
      <w:r w:rsidRPr="00F92161">
        <w:rPr>
          <w:rFonts w:asciiTheme="minorHAnsi" w:hAnsiTheme="minorHAnsi" w:cstheme="minorHAnsi"/>
          <w:color w:val="242424"/>
          <w:sz w:val="22"/>
          <w:szCs w:val="22"/>
          <w:bdr w:val="none" w:sz="0" w:space="0" w:color="auto" w:frame="1"/>
        </w:rPr>
        <w:t>consumer</w:t>
      </w:r>
      <w:proofErr w:type="gramEnd"/>
      <w:r w:rsidRPr="00F92161">
        <w:rPr>
          <w:rFonts w:asciiTheme="minorHAnsi" w:hAnsiTheme="minorHAnsi" w:cstheme="minorHAnsi"/>
          <w:color w:val="242424"/>
          <w:sz w:val="22"/>
          <w:szCs w:val="22"/>
          <w:bdr w:val="none" w:sz="0" w:space="0" w:color="auto" w:frame="1"/>
        </w:rPr>
        <w:t xml:space="preserve"> is enrolled in Policy A with a</w:t>
      </w:r>
      <w:r w:rsidR="00533F5B">
        <w:rPr>
          <w:rFonts w:asciiTheme="minorHAnsi" w:hAnsiTheme="minorHAnsi" w:cstheme="minorHAnsi"/>
          <w:color w:val="242424"/>
          <w:sz w:val="22"/>
          <w:szCs w:val="22"/>
          <w:bdr w:val="none" w:sz="0" w:space="0" w:color="auto" w:frame="1"/>
        </w:rPr>
        <w:t>n</w:t>
      </w:r>
      <w:r w:rsidRPr="00F92161">
        <w:rPr>
          <w:rFonts w:asciiTheme="minorHAnsi" w:hAnsiTheme="minorHAnsi" w:cstheme="minorHAnsi"/>
          <w:color w:val="242424"/>
          <w:sz w:val="22"/>
          <w:szCs w:val="22"/>
          <w:bdr w:val="none" w:sz="0" w:space="0" w:color="auto" w:frame="1"/>
        </w:rPr>
        <w:t xml:space="preserve"> 1/1/2024 effective date. At renewal for 1/1/2025, the consumer is automatically renewed into Policy B. The premium is re-rated based on the consumer’s age as of 1/1/2025.</w:t>
      </w:r>
    </w:p>
    <w:p w14:paraId="03C3ED05" w14:textId="77777777" w:rsidR="00F92161" w:rsidRPr="00F92161" w:rsidRDefault="00F92161" w:rsidP="00F92161">
      <w:pPr>
        <w:pStyle w:val="xmsonormal"/>
        <w:shd w:val="clear" w:color="auto" w:fill="FFFFFF"/>
        <w:spacing w:before="0" w:beforeAutospacing="0" w:after="0" w:afterAutospacing="0"/>
        <w:rPr>
          <w:rFonts w:asciiTheme="minorHAnsi" w:hAnsiTheme="minorHAnsi" w:cstheme="minorHAnsi"/>
          <w:color w:val="242424"/>
        </w:rPr>
      </w:pPr>
      <w:r w:rsidRPr="00F92161">
        <w:rPr>
          <w:rFonts w:asciiTheme="minorHAnsi" w:hAnsiTheme="minorHAnsi" w:cstheme="minorHAnsi"/>
          <w:b/>
          <w:bCs/>
          <w:color w:val="242424"/>
          <w:sz w:val="22"/>
          <w:szCs w:val="22"/>
          <w:bdr w:val="none" w:sz="0" w:space="0" w:color="auto" w:frame="1"/>
        </w:rPr>
        <w:t> </w:t>
      </w:r>
    </w:p>
    <w:p w14:paraId="0E689057" w14:textId="77777777" w:rsidR="00F92161" w:rsidRPr="00FA5BE3" w:rsidRDefault="00F92161" w:rsidP="00F92161">
      <w:pPr>
        <w:pStyle w:val="xmsonormal"/>
        <w:shd w:val="clear" w:color="auto" w:fill="FFFFFF"/>
        <w:spacing w:before="0" w:beforeAutospacing="0" w:after="0" w:afterAutospacing="0"/>
        <w:rPr>
          <w:rFonts w:asciiTheme="minorHAnsi" w:hAnsiTheme="minorHAnsi" w:cstheme="minorHAnsi"/>
          <w:i/>
          <w:iCs/>
          <w:color w:val="242424"/>
        </w:rPr>
      </w:pPr>
      <w:r w:rsidRPr="00FA5BE3">
        <w:rPr>
          <w:rFonts w:asciiTheme="minorHAnsi" w:hAnsiTheme="minorHAnsi" w:cstheme="minorHAnsi"/>
          <w:i/>
          <w:iCs/>
          <w:color w:val="242424"/>
          <w:sz w:val="22"/>
          <w:szCs w:val="22"/>
          <w:bdr w:val="none" w:sz="0" w:space="0" w:color="auto" w:frame="1"/>
        </w:rPr>
        <w:t>Gap in Coverage</w:t>
      </w:r>
    </w:p>
    <w:p w14:paraId="5C7623EF" w14:textId="77777777" w:rsidR="00F92161" w:rsidRPr="00FA5BE3" w:rsidRDefault="00F92161" w:rsidP="008E39B8">
      <w:pPr>
        <w:pStyle w:val="xmsonormal"/>
        <w:numPr>
          <w:ilvl w:val="0"/>
          <w:numId w:val="42"/>
        </w:numPr>
        <w:shd w:val="clear" w:color="auto" w:fill="FFFFFF"/>
        <w:spacing w:before="0" w:beforeAutospacing="0" w:after="0" w:afterAutospacing="0"/>
        <w:rPr>
          <w:rFonts w:asciiTheme="minorHAnsi" w:hAnsiTheme="minorHAnsi" w:cstheme="minorHAnsi"/>
          <w:i/>
          <w:iCs/>
          <w:color w:val="242424"/>
        </w:rPr>
      </w:pPr>
      <w:r w:rsidRPr="00FA5BE3">
        <w:rPr>
          <w:rFonts w:asciiTheme="minorHAnsi" w:hAnsiTheme="minorHAnsi" w:cstheme="minorHAnsi"/>
          <w:i/>
          <w:iCs/>
          <w:color w:val="242424"/>
          <w:sz w:val="22"/>
          <w:szCs w:val="22"/>
          <w:bdr w:val="none" w:sz="0" w:space="0" w:color="auto" w:frame="1"/>
        </w:rPr>
        <w:t>Re-Rate Required: </w:t>
      </w:r>
      <w:r w:rsidRPr="00FA5BE3">
        <w:rPr>
          <w:rFonts w:asciiTheme="minorHAnsi" w:hAnsiTheme="minorHAnsi" w:cstheme="minorHAnsi"/>
          <w:color w:val="242424"/>
          <w:sz w:val="22"/>
          <w:szCs w:val="22"/>
          <w:bdr w:val="none" w:sz="0" w:space="0" w:color="auto" w:frame="1"/>
        </w:rPr>
        <w:t>Yes</w:t>
      </w:r>
    </w:p>
    <w:p w14:paraId="3B4D68DB" w14:textId="77777777" w:rsidR="00F92161" w:rsidRPr="00F92161" w:rsidRDefault="00F92161" w:rsidP="008E39B8">
      <w:pPr>
        <w:pStyle w:val="xmsonormal"/>
        <w:numPr>
          <w:ilvl w:val="0"/>
          <w:numId w:val="42"/>
        </w:numPr>
        <w:shd w:val="clear" w:color="auto" w:fill="FFFFFF"/>
        <w:spacing w:before="0" w:beforeAutospacing="0" w:after="0" w:afterAutospacing="0"/>
        <w:rPr>
          <w:rFonts w:asciiTheme="minorHAnsi" w:hAnsiTheme="minorHAnsi" w:cstheme="minorHAnsi"/>
          <w:color w:val="242424"/>
        </w:rPr>
      </w:pPr>
      <w:r w:rsidRPr="00FA5BE3">
        <w:rPr>
          <w:rFonts w:asciiTheme="minorHAnsi" w:hAnsiTheme="minorHAnsi" w:cstheme="minorHAnsi"/>
          <w:i/>
          <w:iCs/>
          <w:color w:val="242424"/>
          <w:sz w:val="22"/>
          <w:szCs w:val="22"/>
          <w:bdr w:val="none" w:sz="0" w:space="0" w:color="auto" w:frame="1"/>
        </w:rPr>
        <w:t>Example:</w:t>
      </w:r>
      <w:r w:rsidRPr="00F92161">
        <w:rPr>
          <w:rFonts w:asciiTheme="minorHAnsi" w:hAnsiTheme="minorHAnsi" w:cstheme="minorHAnsi"/>
          <w:color w:val="242424"/>
          <w:sz w:val="22"/>
          <w:szCs w:val="22"/>
          <w:bdr w:val="none" w:sz="0" w:space="0" w:color="auto" w:frame="1"/>
        </w:rPr>
        <w:t> A consumer is enrolled from 1/1/2025 through 3/31/2025, then re-enrolls with new coverage starting 6/1/2025 through 12/31/2025. Because of the gap, the plan is re-rated based on the consumer’s age as of 6/1/2025.</w:t>
      </w:r>
    </w:p>
    <w:p w14:paraId="23BC7C04" w14:textId="77777777" w:rsidR="00F92161" w:rsidRPr="00F92161" w:rsidRDefault="00F92161" w:rsidP="00F92161">
      <w:pPr>
        <w:pStyle w:val="xmsonormal"/>
        <w:shd w:val="clear" w:color="auto" w:fill="FFFFFF"/>
        <w:spacing w:before="0" w:beforeAutospacing="0" w:after="0" w:afterAutospacing="0"/>
        <w:rPr>
          <w:rFonts w:asciiTheme="minorHAnsi" w:hAnsiTheme="minorHAnsi" w:cstheme="minorHAnsi"/>
          <w:color w:val="242424"/>
        </w:rPr>
      </w:pPr>
      <w:r w:rsidRPr="00F92161">
        <w:rPr>
          <w:rFonts w:asciiTheme="minorHAnsi" w:hAnsiTheme="minorHAnsi" w:cstheme="minorHAnsi"/>
          <w:b/>
          <w:bCs/>
          <w:color w:val="242424"/>
          <w:sz w:val="22"/>
          <w:szCs w:val="22"/>
          <w:bdr w:val="none" w:sz="0" w:space="0" w:color="auto" w:frame="1"/>
        </w:rPr>
        <w:t> </w:t>
      </w:r>
    </w:p>
    <w:p w14:paraId="10EE72DB" w14:textId="77777777" w:rsidR="00F92161" w:rsidRPr="00FA5BE3" w:rsidRDefault="00F92161" w:rsidP="00F92161">
      <w:pPr>
        <w:pStyle w:val="xmsonormal"/>
        <w:shd w:val="clear" w:color="auto" w:fill="FFFFFF"/>
        <w:spacing w:before="0" w:beforeAutospacing="0" w:after="0" w:afterAutospacing="0"/>
        <w:rPr>
          <w:rFonts w:asciiTheme="minorHAnsi" w:hAnsiTheme="minorHAnsi" w:cstheme="minorHAnsi"/>
          <w:i/>
          <w:iCs/>
          <w:color w:val="242424"/>
        </w:rPr>
      </w:pPr>
      <w:r w:rsidRPr="00FA5BE3">
        <w:rPr>
          <w:rFonts w:asciiTheme="minorHAnsi" w:hAnsiTheme="minorHAnsi" w:cstheme="minorHAnsi"/>
          <w:i/>
          <w:iCs/>
          <w:color w:val="242424"/>
          <w:sz w:val="22"/>
          <w:szCs w:val="22"/>
          <w:bdr w:val="none" w:sz="0" w:space="0" w:color="auto" w:frame="1"/>
        </w:rPr>
        <w:t>Plan Change (14-digit plan change within the same carrier)</w:t>
      </w:r>
    </w:p>
    <w:p w14:paraId="26B90763" w14:textId="77777777" w:rsidR="00F92161" w:rsidRPr="00FA5BE3" w:rsidRDefault="00F92161" w:rsidP="008E39B8">
      <w:pPr>
        <w:pStyle w:val="xmsonormal"/>
        <w:numPr>
          <w:ilvl w:val="0"/>
          <w:numId w:val="43"/>
        </w:numPr>
        <w:shd w:val="clear" w:color="auto" w:fill="FFFFFF"/>
        <w:spacing w:before="0" w:beforeAutospacing="0" w:after="0" w:afterAutospacing="0"/>
        <w:rPr>
          <w:rFonts w:asciiTheme="minorHAnsi" w:hAnsiTheme="minorHAnsi" w:cstheme="minorHAnsi"/>
          <w:i/>
          <w:iCs/>
          <w:color w:val="242424"/>
        </w:rPr>
      </w:pPr>
      <w:r w:rsidRPr="00FA5BE3">
        <w:rPr>
          <w:rFonts w:asciiTheme="minorHAnsi" w:hAnsiTheme="minorHAnsi" w:cstheme="minorHAnsi"/>
          <w:i/>
          <w:iCs/>
          <w:color w:val="242424"/>
          <w:sz w:val="22"/>
          <w:szCs w:val="22"/>
          <w:bdr w:val="none" w:sz="0" w:space="0" w:color="auto" w:frame="1"/>
        </w:rPr>
        <w:t>Re-Rate Required: </w:t>
      </w:r>
      <w:r w:rsidRPr="00FA5BE3">
        <w:rPr>
          <w:rFonts w:asciiTheme="minorHAnsi" w:hAnsiTheme="minorHAnsi" w:cstheme="minorHAnsi"/>
          <w:color w:val="242424"/>
          <w:sz w:val="22"/>
          <w:szCs w:val="22"/>
          <w:bdr w:val="none" w:sz="0" w:space="0" w:color="auto" w:frame="1"/>
        </w:rPr>
        <w:t>Yes</w:t>
      </w:r>
    </w:p>
    <w:p w14:paraId="235D33EA" w14:textId="77777777" w:rsidR="00F92161" w:rsidRPr="00F92161" w:rsidRDefault="00F92161" w:rsidP="008E39B8">
      <w:pPr>
        <w:pStyle w:val="xmsonormal"/>
        <w:numPr>
          <w:ilvl w:val="0"/>
          <w:numId w:val="43"/>
        </w:numPr>
        <w:shd w:val="clear" w:color="auto" w:fill="FFFFFF"/>
        <w:spacing w:before="0" w:beforeAutospacing="0" w:after="0" w:afterAutospacing="0"/>
        <w:rPr>
          <w:rFonts w:asciiTheme="minorHAnsi" w:hAnsiTheme="minorHAnsi" w:cstheme="minorHAnsi"/>
          <w:color w:val="242424"/>
        </w:rPr>
      </w:pPr>
      <w:r w:rsidRPr="00FA5BE3">
        <w:rPr>
          <w:rFonts w:asciiTheme="minorHAnsi" w:hAnsiTheme="minorHAnsi" w:cstheme="minorHAnsi"/>
          <w:i/>
          <w:iCs/>
          <w:color w:val="242424"/>
          <w:sz w:val="22"/>
          <w:szCs w:val="22"/>
          <w:bdr w:val="none" w:sz="0" w:space="0" w:color="auto" w:frame="1"/>
        </w:rPr>
        <w:t>Example:</w:t>
      </w:r>
      <w:r w:rsidRPr="00F92161">
        <w:rPr>
          <w:rFonts w:asciiTheme="minorHAnsi" w:hAnsiTheme="minorHAnsi" w:cstheme="minorHAnsi"/>
          <w:color w:val="242424"/>
          <w:sz w:val="22"/>
          <w:szCs w:val="22"/>
          <w:bdr w:val="none" w:sz="0" w:space="0" w:color="auto" w:frame="1"/>
        </w:rPr>
        <w:t> The consumer is enrolled in Plan ID A from 1/1/2025 to 2/28/2025. On 3/1/2025, the consumer switches to Plan ID B with the same carrier. Re-rating is required based on the consumer’s age as of 3/1/2025.</w:t>
      </w:r>
    </w:p>
    <w:p w14:paraId="499D4E68" w14:textId="77777777" w:rsidR="00F92161" w:rsidRPr="00F92161" w:rsidRDefault="00F92161" w:rsidP="00F92161">
      <w:pPr>
        <w:pStyle w:val="xmsonormal"/>
        <w:shd w:val="clear" w:color="auto" w:fill="FFFFFF"/>
        <w:spacing w:before="0" w:beforeAutospacing="0" w:after="0" w:afterAutospacing="0"/>
        <w:rPr>
          <w:rFonts w:asciiTheme="minorHAnsi" w:hAnsiTheme="minorHAnsi" w:cstheme="minorHAnsi"/>
          <w:color w:val="242424"/>
        </w:rPr>
      </w:pPr>
      <w:r w:rsidRPr="00F92161">
        <w:rPr>
          <w:rFonts w:asciiTheme="minorHAnsi" w:hAnsiTheme="minorHAnsi" w:cstheme="minorHAnsi"/>
          <w:b/>
          <w:bCs/>
          <w:color w:val="242424"/>
          <w:sz w:val="22"/>
          <w:szCs w:val="22"/>
          <w:bdr w:val="none" w:sz="0" w:space="0" w:color="auto" w:frame="1"/>
        </w:rPr>
        <w:t> </w:t>
      </w:r>
    </w:p>
    <w:p w14:paraId="32D5C0AD" w14:textId="77777777" w:rsidR="00F92161" w:rsidRPr="00FA5BE3" w:rsidRDefault="00F92161" w:rsidP="00F92161">
      <w:pPr>
        <w:pStyle w:val="xmsonormal"/>
        <w:shd w:val="clear" w:color="auto" w:fill="FFFFFF"/>
        <w:spacing w:before="0" w:beforeAutospacing="0" w:after="0" w:afterAutospacing="0"/>
        <w:rPr>
          <w:rFonts w:asciiTheme="minorHAnsi" w:hAnsiTheme="minorHAnsi" w:cstheme="minorHAnsi"/>
          <w:i/>
          <w:iCs/>
          <w:color w:val="242424"/>
        </w:rPr>
      </w:pPr>
      <w:r w:rsidRPr="00FA5BE3">
        <w:rPr>
          <w:rFonts w:asciiTheme="minorHAnsi" w:hAnsiTheme="minorHAnsi" w:cstheme="minorHAnsi"/>
          <w:i/>
          <w:iCs/>
          <w:color w:val="242424"/>
          <w:sz w:val="22"/>
          <w:szCs w:val="22"/>
          <w:bdr w:val="none" w:sz="0" w:space="0" w:color="auto" w:frame="1"/>
        </w:rPr>
        <w:t>Carrier Change (14-digit plan change to a different carrier)</w:t>
      </w:r>
    </w:p>
    <w:p w14:paraId="4D4D7EF8" w14:textId="77777777" w:rsidR="00F92161" w:rsidRPr="00FA5BE3" w:rsidRDefault="00F92161" w:rsidP="008E39B8">
      <w:pPr>
        <w:pStyle w:val="xmsonormal"/>
        <w:numPr>
          <w:ilvl w:val="0"/>
          <w:numId w:val="44"/>
        </w:numPr>
        <w:shd w:val="clear" w:color="auto" w:fill="FFFFFF"/>
        <w:spacing w:before="0" w:beforeAutospacing="0" w:after="0" w:afterAutospacing="0"/>
        <w:rPr>
          <w:rFonts w:asciiTheme="minorHAnsi" w:hAnsiTheme="minorHAnsi" w:cstheme="minorHAnsi"/>
          <w:i/>
          <w:iCs/>
          <w:color w:val="242424"/>
        </w:rPr>
      </w:pPr>
      <w:r w:rsidRPr="00FA5BE3">
        <w:rPr>
          <w:rFonts w:asciiTheme="minorHAnsi" w:hAnsiTheme="minorHAnsi" w:cstheme="minorHAnsi"/>
          <w:i/>
          <w:iCs/>
          <w:color w:val="242424"/>
          <w:sz w:val="22"/>
          <w:szCs w:val="22"/>
          <w:bdr w:val="none" w:sz="0" w:space="0" w:color="auto" w:frame="1"/>
        </w:rPr>
        <w:t>Re-Rate Required: </w:t>
      </w:r>
      <w:r w:rsidRPr="00FA5BE3">
        <w:rPr>
          <w:rFonts w:asciiTheme="minorHAnsi" w:hAnsiTheme="minorHAnsi" w:cstheme="minorHAnsi"/>
          <w:color w:val="242424"/>
          <w:sz w:val="22"/>
          <w:szCs w:val="22"/>
          <w:bdr w:val="none" w:sz="0" w:space="0" w:color="auto" w:frame="1"/>
        </w:rPr>
        <w:t>Yes</w:t>
      </w:r>
    </w:p>
    <w:p w14:paraId="310CCCEE" w14:textId="77777777" w:rsidR="00F92161" w:rsidRPr="00F92161" w:rsidRDefault="00F92161" w:rsidP="008E39B8">
      <w:pPr>
        <w:pStyle w:val="xmsonormal"/>
        <w:numPr>
          <w:ilvl w:val="0"/>
          <w:numId w:val="44"/>
        </w:numPr>
        <w:shd w:val="clear" w:color="auto" w:fill="FFFFFF"/>
        <w:spacing w:before="0" w:beforeAutospacing="0" w:after="0" w:afterAutospacing="0"/>
        <w:rPr>
          <w:rFonts w:asciiTheme="minorHAnsi" w:hAnsiTheme="minorHAnsi" w:cstheme="minorHAnsi"/>
          <w:color w:val="242424"/>
        </w:rPr>
      </w:pPr>
      <w:r w:rsidRPr="00FA5BE3">
        <w:rPr>
          <w:rFonts w:asciiTheme="minorHAnsi" w:hAnsiTheme="minorHAnsi" w:cstheme="minorHAnsi"/>
          <w:i/>
          <w:iCs/>
          <w:color w:val="242424"/>
          <w:sz w:val="22"/>
          <w:szCs w:val="22"/>
          <w:bdr w:val="none" w:sz="0" w:space="0" w:color="auto" w:frame="1"/>
        </w:rPr>
        <w:t>Example:</w:t>
      </w:r>
      <w:r w:rsidRPr="00F92161">
        <w:rPr>
          <w:rFonts w:asciiTheme="minorHAnsi" w:hAnsiTheme="minorHAnsi" w:cstheme="minorHAnsi"/>
          <w:color w:val="242424"/>
          <w:sz w:val="22"/>
          <w:szCs w:val="22"/>
          <w:bdr w:val="none" w:sz="0" w:space="0" w:color="auto" w:frame="1"/>
        </w:rPr>
        <w:t> The consumer is enrolled in Plan ID A from 1/1/2025 to 2/28/2025, and switches to Plan ID B with a new carrier effective 3/1/2025. Re-rating is required based on the consumer’s age as of 3/1/2025.</w:t>
      </w:r>
    </w:p>
    <w:p w14:paraId="531EA252" w14:textId="77777777" w:rsidR="00F92161" w:rsidRPr="00F92161" w:rsidRDefault="00F92161" w:rsidP="00F92161">
      <w:pPr>
        <w:pStyle w:val="xmsonormal"/>
        <w:shd w:val="clear" w:color="auto" w:fill="FFFFFF"/>
        <w:spacing w:before="0" w:beforeAutospacing="0" w:after="0" w:afterAutospacing="0"/>
        <w:rPr>
          <w:rFonts w:asciiTheme="minorHAnsi" w:hAnsiTheme="minorHAnsi" w:cstheme="minorHAnsi"/>
          <w:color w:val="242424"/>
        </w:rPr>
      </w:pPr>
      <w:r w:rsidRPr="00F92161">
        <w:rPr>
          <w:rFonts w:asciiTheme="minorHAnsi" w:hAnsiTheme="minorHAnsi" w:cstheme="minorHAnsi"/>
          <w:b/>
          <w:bCs/>
          <w:color w:val="242424"/>
          <w:sz w:val="22"/>
          <w:szCs w:val="22"/>
          <w:bdr w:val="none" w:sz="0" w:space="0" w:color="auto" w:frame="1"/>
        </w:rPr>
        <w:t> </w:t>
      </w:r>
    </w:p>
    <w:p w14:paraId="59461827" w14:textId="77777777" w:rsidR="00F92161" w:rsidRPr="00FA5BE3" w:rsidRDefault="00F92161" w:rsidP="00F92161">
      <w:pPr>
        <w:pStyle w:val="xmsonormal"/>
        <w:shd w:val="clear" w:color="auto" w:fill="FFFFFF"/>
        <w:spacing w:before="0" w:beforeAutospacing="0" w:after="0" w:afterAutospacing="0"/>
        <w:rPr>
          <w:rFonts w:asciiTheme="minorHAnsi" w:hAnsiTheme="minorHAnsi" w:cstheme="minorHAnsi"/>
          <w:i/>
          <w:iCs/>
          <w:color w:val="242424"/>
        </w:rPr>
      </w:pPr>
      <w:r w:rsidRPr="00FA5BE3">
        <w:rPr>
          <w:rFonts w:asciiTheme="minorHAnsi" w:hAnsiTheme="minorHAnsi" w:cstheme="minorHAnsi"/>
          <w:i/>
          <w:iCs/>
          <w:color w:val="242424"/>
          <w:sz w:val="22"/>
          <w:szCs w:val="22"/>
          <w:bdr w:val="none" w:sz="0" w:space="0" w:color="auto" w:frame="1"/>
        </w:rPr>
        <w:t>Change Only to CSR Variant</w:t>
      </w:r>
    </w:p>
    <w:p w14:paraId="71196D60" w14:textId="77777777" w:rsidR="00F92161" w:rsidRPr="00FA5BE3" w:rsidRDefault="00F92161" w:rsidP="008E39B8">
      <w:pPr>
        <w:pStyle w:val="xmsonormal"/>
        <w:numPr>
          <w:ilvl w:val="0"/>
          <w:numId w:val="45"/>
        </w:numPr>
        <w:shd w:val="clear" w:color="auto" w:fill="FFFFFF"/>
        <w:spacing w:before="0" w:beforeAutospacing="0" w:after="0" w:afterAutospacing="0"/>
        <w:rPr>
          <w:rFonts w:asciiTheme="minorHAnsi" w:hAnsiTheme="minorHAnsi" w:cstheme="minorHAnsi"/>
          <w:color w:val="242424"/>
        </w:rPr>
      </w:pPr>
      <w:r w:rsidRPr="00FA5BE3">
        <w:rPr>
          <w:rFonts w:asciiTheme="minorHAnsi" w:hAnsiTheme="minorHAnsi" w:cstheme="minorHAnsi"/>
          <w:color w:val="242424"/>
          <w:sz w:val="22"/>
          <w:szCs w:val="22"/>
          <w:bdr w:val="none" w:sz="0" w:space="0" w:color="auto" w:frame="1"/>
        </w:rPr>
        <w:t>Re-Rate Required: No</w:t>
      </w:r>
    </w:p>
    <w:p w14:paraId="7785FA93" w14:textId="77777777" w:rsidR="00F92161" w:rsidRPr="00F92161" w:rsidRDefault="00F92161" w:rsidP="008E39B8">
      <w:pPr>
        <w:pStyle w:val="xmsonormal"/>
        <w:numPr>
          <w:ilvl w:val="0"/>
          <w:numId w:val="45"/>
        </w:numPr>
        <w:shd w:val="clear" w:color="auto" w:fill="FFFFFF"/>
        <w:spacing w:before="0" w:beforeAutospacing="0" w:after="0" w:afterAutospacing="0"/>
        <w:rPr>
          <w:rFonts w:asciiTheme="minorHAnsi" w:hAnsiTheme="minorHAnsi" w:cstheme="minorHAnsi"/>
          <w:color w:val="242424"/>
        </w:rPr>
      </w:pPr>
      <w:r w:rsidRPr="00FA5BE3">
        <w:rPr>
          <w:rFonts w:asciiTheme="minorHAnsi" w:hAnsiTheme="minorHAnsi" w:cstheme="minorHAnsi"/>
          <w:color w:val="242424"/>
          <w:sz w:val="22"/>
          <w:szCs w:val="22"/>
          <w:bdr w:val="none" w:sz="0" w:space="0" w:color="auto" w:frame="1"/>
        </w:rPr>
        <w:t>Example:</w:t>
      </w:r>
      <w:r w:rsidRPr="00F92161">
        <w:rPr>
          <w:rFonts w:asciiTheme="minorHAnsi" w:hAnsiTheme="minorHAnsi" w:cstheme="minorHAnsi"/>
          <w:color w:val="242424"/>
          <w:sz w:val="22"/>
          <w:szCs w:val="22"/>
          <w:bdr w:val="none" w:sz="0" w:space="0" w:color="auto" w:frame="1"/>
        </w:rPr>
        <w:t> The consumer is enrolled in Plan ID A from 1/1/2025 to 2/28/2025 and then transitions to Plan ID B on 3/1/2025. Since the only change is to the CSR variant (cost-sharing reduction), re-rating is not required. The age used for rating remains as of 1/1/2025.</w:t>
      </w:r>
    </w:p>
    <w:p w14:paraId="739E3447" w14:textId="77777777" w:rsidR="002C6514" w:rsidRPr="002C6514" w:rsidRDefault="002C6514" w:rsidP="002C6514"/>
    <w:p w14:paraId="7B7753ED" w14:textId="17C5B54C" w:rsidR="00D23579" w:rsidRDefault="0023730D" w:rsidP="00A53E91">
      <w:pPr>
        <w:pStyle w:val="Heading3"/>
        <w:spacing w:line="240" w:lineRule="auto"/>
      </w:pPr>
      <w:bookmarkStart w:id="120" w:name="_Toc209003075"/>
      <w:r w:rsidRPr="0023730D">
        <w:t>Child-Only Policies</w:t>
      </w:r>
      <w:bookmarkEnd w:id="120"/>
    </w:p>
    <w:p w14:paraId="2EB4E259" w14:textId="48A67443" w:rsidR="00E46028" w:rsidRDefault="00E46028" w:rsidP="0040507E">
      <w:pPr>
        <w:jc w:val="both"/>
      </w:pPr>
      <w:r>
        <w:t xml:space="preserve">Georgia Access allows parents or guardians to seek coverage for only their dependents. In this situation, the </w:t>
      </w:r>
      <w:r w:rsidR="58352625">
        <w:t xml:space="preserve">youngest </w:t>
      </w:r>
      <w:r>
        <w:t xml:space="preserve">child in the household is identified as the subscriber even though the parent or guardian is the primary tax-filer. Multiple siblings are allowed to be added to the policy at the point of initial application or added later with an acceptable Qualifying Life Event (QLE). The parent or guardian is </w:t>
      </w:r>
      <w:r>
        <w:lastRenderedPageBreak/>
        <w:t>permitted to be added to the policy later with an acceptable QLE. Additionally, a child-only policy can also occur if a parent or guardian was originally on the account but becomes ineligible for coverage. Issuers are expected to accept child-only policies with multiple siblings. If an issuer cannot accept the addition of parent/guardian to the policy with the child as the subscriber, then a Consumer Assistance Portal ticket must be submitted to Georgia Access to change the subscriber to the parent/guardian. Please see section 2.6.3 in the Consumer Eligibility, Enrollment, and Support policy manual for information on other scenarios for changing the subscriber for child-only policies.</w:t>
      </w:r>
      <w:r w:rsidR="1F0964D7">
        <w:t xml:space="preserve"> </w:t>
      </w:r>
      <w:r w:rsidR="34359EFB">
        <w:t xml:space="preserve">Additionally, in cases where the household contains more than three children under the age of 21, the fourth and remaining children’s premiums will not be added to the premium total.  </w:t>
      </w:r>
      <w:r w:rsidR="000B2CE5">
        <w:t xml:space="preserve"> </w:t>
      </w:r>
    </w:p>
    <w:p w14:paraId="45FC3E2A" w14:textId="14F7A4BB" w:rsidR="00FE110B" w:rsidRDefault="002E4050" w:rsidP="00A53E91">
      <w:pPr>
        <w:pStyle w:val="Heading3"/>
        <w:spacing w:line="240" w:lineRule="auto"/>
      </w:pPr>
      <w:bookmarkStart w:id="121" w:name="_Toc209003076"/>
      <w:r>
        <w:t>Enrollment Testing</w:t>
      </w:r>
      <w:bookmarkEnd w:id="121"/>
    </w:p>
    <w:p w14:paraId="6FE41881" w14:textId="6BCEEE68" w:rsidR="00A94D7B" w:rsidRDefault="37A1A8D2" w:rsidP="00A94D7B">
      <w:r>
        <w:t xml:space="preserve">Issuers </w:t>
      </w:r>
      <w:r w:rsidR="20C96921">
        <w:t>are required to complete</w:t>
      </w:r>
      <w:r>
        <w:t xml:space="preserve"> </w:t>
      </w:r>
      <w:r w:rsidR="04536AB4">
        <w:t>enrollment testing</w:t>
      </w:r>
      <w:r>
        <w:t xml:space="preserve"> prior to </w:t>
      </w:r>
      <w:r w:rsidR="3DD8BF69">
        <w:t>going live on the Georgia Access platform</w:t>
      </w:r>
      <w:r>
        <w:t xml:space="preserve">. This section describes the </w:t>
      </w:r>
      <w:r w:rsidR="04536AB4">
        <w:t xml:space="preserve">EDI, RCNI, and </w:t>
      </w:r>
      <w:proofErr w:type="spellStart"/>
      <w:r w:rsidR="04536AB4">
        <w:t>PayNow</w:t>
      </w:r>
      <w:proofErr w:type="spellEnd"/>
      <w:r w:rsidR="04536AB4">
        <w:t xml:space="preserve"> </w:t>
      </w:r>
      <w:r w:rsidR="20C96921">
        <w:t>testing included in this process</w:t>
      </w:r>
      <w:r w:rsidR="142DE643">
        <w:t xml:space="preserve">. </w:t>
      </w:r>
      <w:r w:rsidR="0BC9C478">
        <w:t xml:space="preserve">This testing is only required for the </w:t>
      </w:r>
      <w:r w:rsidR="127ADFAE">
        <w:t xml:space="preserve">issuer’s first year of go-live; in subsequent years, Enrollment Testing will only be completed if there are 834 or RCNI changes </w:t>
      </w:r>
      <w:r w:rsidR="20C96921">
        <w:t xml:space="preserve">requiring new testing. </w:t>
      </w:r>
      <w:r w:rsidR="1C90C74F">
        <w:t>Georgia Access will provide issuers the test plan, technical specifications, and testing timelines prior to initiating the testing phase.</w:t>
      </w:r>
    </w:p>
    <w:p w14:paraId="4A623E25" w14:textId="77777777" w:rsidR="002E4050" w:rsidRDefault="002E4050" w:rsidP="00A53E91">
      <w:pPr>
        <w:pStyle w:val="Heading4"/>
        <w:spacing w:line="240" w:lineRule="auto"/>
      </w:pPr>
      <w:r>
        <w:t>EDI Testing</w:t>
      </w:r>
    </w:p>
    <w:p w14:paraId="7F3636C1" w14:textId="00263A14" w:rsidR="00A94D7B" w:rsidRDefault="37A1A8D2" w:rsidP="00A94D7B">
      <w:r>
        <w:t>Issuers are required to complete a set of 14-17 test case</w:t>
      </w:r>
      <w:r w:rsidR="3DD8BF69">
        <w:t xml:space="preserve">s </w:t>
      </w:r>
      <w:r>
        <w:t xml:space="preserve">to demonstrate their ability to send and receive 834, TA1, and 999 </w:t>
      </w:r>
      <w:r w:rsidR="47CCB9F0">
        <w:t xml:space="preserve">EDI </w:t>
      </w:r>
      <w:r>
        <w:t xml:space="preserve">transactions. </w:t>
      </w:r>
      <w:r w:rsidR="47CCB9F0">
        <w:t xml:space="preserve">Georgia Access will initiate each test case by transmitting an 834 initial enrollment file. Issuers will respond with </w:t>
      </w:r>
      <w:proofErr w:type="gramStart"/>
      <w:r w:rsidR="47CCB9F0">
        <w:t>a TA1</w:t>
      </w:r>
      <w:proofErr w:type="gramEnd"/>
      <w:r w:rsidR="47CCB9F0">
        <w:t xml:space="preserve">, 999, and 834 as appropriate based on the test case. </w:t>
      </w:r>
      <w:r w:rsidR="1C90C74F">
        <w:t xml:space="preserve">The timeline and exact transaction test cases are included in the Georgia Access </w:t>
      </w:r>
      <w:r w:rsidR="7DD000E2">
        <w:t>Test</w:t>
      </w:r>
      <w:r w:rsidR="1C90C74F">
        <w:t xml:space="preserve"> Plan. </w:t>
      </w:r>
    </w:p>
    <w:p w14:paraId="6495BA57" w14:textId="1BD9B409" w:rsidR="002E4050" w:rsidRDefault="002E4050" w:rsidP="00A53E91">
      <w:pPr>
        <w:pStyle w:val="Heading4"/>
        <w:spacing w:line="240" w:lineRule="auto"/>
      </w:pPr>
      <w:r>
        <w:t>RCNI Testing</w:t>
      </w:r>
    </w:p>
    <w:p w14:paraId="307D869B" w14:textId="249879FD" w:rsidR="009E631B" w:rsidRDefault="142DE643" w:rsidP="009E631B">
      <w:r>
        <w:t xml:space="preserve">Issuers are required to complete RCNI Testing after the completion of the EDI 834 Testing. </w:t>
      </w:r>
      <w:r w:rsidR="47FDAE62">
        <w:t xml:space="preserve">Issuers should maintain the test data from the EDI 834 test cases in their test environment. At the conclusion of 834 Testing, issuers will generate a test RCNI file </w:t>
      </w:r>
      <w:r w:rsidR="648E7E04">
        <w:t xml:space="preserve">inclusive of the </w:t>
      </w:r>
      <w:r w:rsidR="127ADFAE">
        <w:t xml:space="preserve">data from the 834 test cases. The Georgia Access platform will return a discrepancy report based on this data. </w:t>
      </w:r>
    </w:p>
    <w:p w14:paraId="39F0732F" w14:textId="25677DB9" w:rsidR="00137977" w:rsidRDefault="20C96921" w:rsidP="428E3552">
      <w:pPr>
        <w:pStyle w:val="Heading4"/>
      </w:pPr>
      <w:proofErr w:type="spellStart"/>
      <w:r>
        <w:t>PayNow</w:t>
      </w:r>
      <w:proofErr w:type="spellEnd"/>
      <w:r>
        <w:t xml:space="preserve"> Testing</w:t>
      </w:r>
    </w:p>
    <w:p w14:paraId="6A05C563" w14:textId="49F1D98E" w:rsidR="00137977" w:rsidRPr="00137977" w:rsidRDefault="20C96921" w:rsidP="428E3552">
      <w:r>
        <w:t xml:space="preserve">Issuers who are implementing </w:t>
      </w:r>
      <w:proofErr w:type="spellStart"/>
      <w:r>
        <w:t>PayNow</w:t>
      </w:r>
      <w:proofErr w:type="spellEnd"/>
      <w:r>
        <w:t xml:space="preserve"> are required to complete </w:t>
      </w:r>
      <w:proofErr w:type="spellStart"/>
      <w:r>
        <w:t>PayNow</w:t>
      </w:r>
      <w:proofErr w:type="spellEnd"/>
      <w:r>
        <w:t xml:space="preserve"> testing. </w:t>
      </w:r>
      <w:r w:rsidR="5FDFF169">
        <w:t xml:space="preserve">Issuers can configure their </w:t>
      </w:r>
      <w:proofErr w:type="spellStart"/>
      <w:r w:rsidR="5FDFF169">
        <w:t>PayNow</w:t>
      </w:r>
      <w:proofErr w:type="spellEnd"/>
      <w:r w:rsidR="5FDFF169">
        <w:t xml:space="preserve"> settings via self-service</w:t>
      </w:r>
      <w:r>
        <w:t xml:space="preserve"> </w:t>
      </w:r>
      <w:r w:rsidR="0DE815EC">
        <w:t>in their Issuer Portal and test the SAML transaction settings. Georgia Access will also transmit a</w:t>
      </w:r>
      <w:r w:rsidR="2A1BAFCD">
        <w:t xml:space="preserve"> test</w:t>
      </w:r>
      <w:r w:rsidR="0DE815EC">
        <w:t xml:space="preserve"> enrollment 834 and </w:t>
      </w:r>
      <w:proofErr w:type="spellStart"/>
      <w:r w:rsidR="0DE815EC">
        <w:t>PayNow</w:t>
      </w:r>
      <w:proofErr w:type="spellEnd"/>
      <w:r w:rsidR="0DE815EC">
        <w:t xml:space="preserve"> </w:t>
      </w:r>
      <w:r w:rsidR="2A1BAFCD">
        <w:t>SAML</w:t>
      </w:r>
      <w:r w:rsidR="0DE815EC">
        <w:t xml:space="preserve"> transaction to complete </w:t>
      </w:r>
      <w:r w:rsidR="7DD000E2">
        <w:t xml:space="preserve">this testing. The full details are included in the Georgia Access Testing Plan. </w:t>
      </w:r>
      <w:r w:rsidR="0DE815EC">
        <w:t xml:space="preserve">  </w:t>
      </w:r>
    </w:p>
    <w:p w14:paraId="1375F4C0" w14:textId="181C3BE0" w:rsidR="003E07E1" w:rsidRDefault="2761095F" w:rsidP="428E3552">
      <w:pPr>
        <w:pStyle w:val="Heading4"/>
      </w:pPr>
      <w:r>
        <w:t>Enrollment Reconciliation</w:t>
      </w:r>
    </w:p>
    <w:p w14:paraId="301B92C6" w14:textId="79A75DD9" w:rsidR="005B409D" w:rsidRPr="005B409D" w:rsidRDefault="6885B4C8" w:rsidP="005B409D">
      <w:r>
        <w:t>Issuers are required to submit an RCNI file monthly following the specifications provided by Georgia Access</w:t>
      </w:r>
      <w:r w:rsidR="7716D328">
        <w:t xml:space="preserve">. The Georgia Access eligibility system will return a discrepancy report within 48 hours of submission of the RCNI file. </w:t>
      </w:r>
      <w:r w:rsidR="604682AE">
        <w:t>Georgia Access will provide guidance to issuers on the RCNI submission schedule</w:t>
      </w:r>
      <w:r w:rsidR="19846D78">
        <w:t xml:space="preserve"> and expectations of discrepancy resolution. </w:t>
      </w:r>
    </w:p>
    <w:p w14:paraId="0D9953C0" w14:textId="77777777" w:rsidR="00E70F5F" w:rsidRPr="00E70F5F" w:rsidRDefault="00E70F5F" w:rsidP="00E70F5F"/>
    <w:sectPr w:rsidR="00E70F5F" w:rsidRPr="00E70F5F" w:rsidSect="00E942B4">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A8DC4" w14:textId="77777777" w:rsidR="0032275B" w:rsidRDefault="0032275B" w:rsidP="007F1198">
      <w:r>
        <w:separator/>
      </w:r>
    </w:p>
  </w:endnote>
  <w:endnote w:type="continuationSeparator" w:id="0">
    <w:p w14:paraId="395F6A85" w14:textId="77777777" w:rsidR="0032275B" w:rsidRDefault="0032275B" w:rsidP="007F1198">
      <w:r>
        <w:continuationSeparator/>
      </w:r>
    </w:p>
  </w:endnote>
  <w:endnote w:type="continuationNotice" w:id="1">
    <w:p w14:paraId="657901FB" w14:textId="77777777" w:rsidR="0032275B" w:rsidRDefault="003227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95128" w14:textId="77777777" w:rsidR="00375215" w:rsidRDefault="00375215">
    <w:pPr>
      <w:tabs>
        <w:tab w:val="center" w:pos="-274"/>
      </w:tabs>
      <w:ind w:left="-1020"/>
    </w:pPr>
    <w:r>
      <w:t xml:space="preserve">Page </w:t>
    </w:r>
    <w:proofErr w:type="gramStart"/>
    <w:r>
      <w:t xml:space="preserve">| </w:t>
    </w:r>
    <w:r>
      <w:rPr>
        <w:sz w:val="31"/>
        <w:vertAlign w:val="subscript"/>
      </w:rPr>
      <w:t xml:space="preserve"> </w:t>
    </w:r>
    <w:r>
      <w:rPr>
        <w:sz w:val="31"/>
        <w:vertAlign w:val="subscript"/>
      </w:rPr>
      <w:tab/>
    </w:r>
    <w:proofErr w:type="gramEnd"/>
    <w:r>
      <w:fldChar w:fldCharType="begin"/>
    </w:r>
    <w:r>
      <w:instrText xml:space="preserve"> PAGE   \* MERGEFORMAT </w:instrText>
    </w:r>
    <w:r>
      <w:fldChar w:fldCharType="separate"/>
    </w:r>
    <w:r>
      <w:t>35</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2BFD5" w14:textId="29EEDEF9" w:rsidR="00375215" w:rsidRDefault="00524BE5">
    <w:pPr>
      <w:tabs>
        <w:tab w:val="center" w:pos="-274"/>
      </w:tabs>
      <w:ind w:left="-1020"/>
    </w:pPr>
    <w:r>
      <w:tab/>
    </w:r>
    <w:r>
      <w:tab/>
    </w:r>
    <w:r w:rsidR="00375215">
      <w:ptab w:relativeTo="margin" w:alignment="center" w:leader="none"/>
    </w:r>
    <w:r w:rsidR="00375215">
      <w:ptab w:relativeTo="margin" w:alignment="right" w:leader="none"/>
    </w:r>
    <w:r w:rsidR="00375215">
      <w:fldChar w:fldCharType="begin"/>
    </w:r>
    <w:r w:rsidR="00375215">
      <w:instrText xml:space="preserve"> PAGE  \* Arabic  \* MERGEFORMAT </w:instrText>
    </w:r>
    <w:r w:rsidR="00375215">
      <w:fldChar w:fldCharType="separate"/>
    </w:r>
    <w:r w:rsidR="00375215">
      <w:rPr>
        <w:noProof/>
      </w:rPr>
      <w:t>31</w:t>
    </w:r>
    <w:r w:rsidR="0037521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D3DC0" w14:textId="64FEE18A" w:rsidR="00375215" w:rsidRDefault="00375215" w:rsidP="00235C70">
    <w:pPr>
      <w:tabs>
        <w:tab w:val="center" w:pos="4681"/>
        <w:tab w:val="right" w:pos="9354"/>
      </w:tabs>
      <w:ind w:right="-5"/>
    </w:pPr>
    <w:r>
      <w:ptab w:relativeTo="margin" w:alignment="center" w:leader="none"/>
    </w:r>
    <w:r>
      <w:ptab w:relativeTo="margin" w:alignment="right" w:leader="none"/>
    </w:r>
    <w:r>
      <w:fldChar w:fldCharType="begin"/>
    </w:r>
    <w:r>
      <w:instrText xml:space="preserve"> PAGE  \* Arabic  \* MERGEFORMAT </w:instrText>
    </w:r>
    <w:r>
      <w:fldChar w:fldCharType="separate"/>
    </w:r>
    <w: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16F34" w14:textId="77777777" w:rsidR="0032275B" w:rsidRDefault="0032275B" w:rsidP="007F1198">
      <w:r>
        <w:separator/>
      </w:r>
    </w:p>
  </w:footnote>
  <w:footnote w:type="continuationSeparator" w:id="0">
    <w:p w14:paraId="7F6C7D15" w14:textId="77777777" w:rsidR="0032275B" w:rsidRDefault="0032275B" w:rsidP="007F1198">
      <w:r>
        <w:continuationSeparator/>
      </w:r>
    </w:p>
  </w:footnote>
  <w:footnote w:type="continuationNotice" w:id="1">
    <w:p w14:paraId="3BB1E221" w14:textId="77777777" w:rsidR="0032275B" w:rsidRDefault="0032275B"/>
  </w:footnote>
  <w:footnote w:id="2">
    <w:p w14:paraId="1B86CDFB" w14:textId="37178D96" w:rsidR="0017497A" w:rsidRPr="008F2951" w:rsidRDefault="0017497A" w:rsidP="00DF6EE3">
      <w:pPr>
        <w:pStyle w:val="FootnoteText"/>
        <w:spacing w:line="240" w:lineRule="auto"/>
        <w:rPr>
          <w:i/>
          <w:iCs/>
          <w:sz w:val="16"/>
          <w:szCs w:val="16"/>
        </w:rPr>
      </w:pPr>
      <w:r w:rsidRPr="008F2951">
        <w:rPr>
          <w:rStyle w:val="FootnoteReference"/>
          <w:sz w:val="16"/>
          <w:szCs w:val="16"/>
        </w:rPr>
        <w:footnoteRef/>
      </w:r>
      <w:r w:rsidRPr="008F2951">
        <w:rPr>
          <w:sz w:val="16"/>
          <w:szCs w:val="16"/>
        </w:rPr>
        <w:t xml:space="preserve"> </w:t>
      </w:r>
      <w:r w:rsidRPr="008F2951">
        <w:rPr>
          <w:i/>
          <w:iCs/>
          <w:sz w:val="16"/>
          <w:szCs w:val="16"/>
        </w:rPr>
        <w:t>Insurance companies may not market specific plan information until receiving QHP certification for their plans.</w:t>
      </w:r>
    </w:p>
  </w:footnote>
  <w:footnote w:id="3">
    <w:p w14:paraId="6903DBF6" w14:textId="7E1CB4E4" w:rsidR="00853B87" w:rsidRPr="00DD31B0" w:rsidRDefault="00853B87" w:rsidP="00DF6EE3">
      <w:pPr>
        <w:pStyle w:val="FootnoteText"/>
        <w:spacing w:line="240" w:lineRule="auto"/>
        <w:rPr>
          <w:i/>
          <w:iCs/>
          <w:sz w:val="16"/>
          <w:szCs w:val="16"/>
        </w:rPr>
      </w:pPr>
      <w:r w:rsidRPr="00DD31B0">
        <w:rPr>
          <w:rStyle w:val="FootnoteReference"/>
          <w:i/>
          <w:iCs/>
          <w:sz w:val="16"/>
          <w:szCs w:val="16"/>
        </w:rPr>
        <w:footnoteRef/>
      </w:r>
      <w:r w:rsidRPr="00DD31B0">
        <w:rPr>
          <w:i/>
          <w:iCs/>
          <w:sz w:val="16"/>
          <w:szCs w:val="16"/>
        </w:rPr>
        <w:t xml:space="preserve"> The list of required materials is based on PY 202</w:t>
      </w:r>
      <w:r w:rsidR="00B61B87" w:rsidRPr="00DD31B0">
        <w:rPr>
          <w:i/>
          <w:iCs/>
          <w:sz w:val="16"/>
          <w:szCs w:val="16"/>
        </w:rPr>
        <w:t>5</w:t>
      </w:r>
      <w:r w:rsidRPr="00DD31B0">
        <w:rPr>
          <w:i/>
          <w:iCs/>
          <w:sz w:val="16"/>
          <w:szCs w:val="16"/>
        </w:rPr>
        <w:t xml:space="preserve"> materials and may change for PY 202</w:t>
      </w:r>
      <w:r w:rsidR="00B61B87" w:rsidRPr="00DD31B0">
        <w:rPr>
          <w:i/>
          <w:iCs/>
          <w:sz w:val="16"/>
          <w:szCs w:val="16"/>
        </w:rPr>
        <w:t>6</w:t>
      </w:r>
      <w:r w:rsidRPr="00DD31B0">
        <w:rPr>
          <w:i/>
          <w:iCs/>
          <w:sz w:val="16"/>
          <w:szCs w:val="16"/>
        </w:rPr>
        <w:t xml:space="preserve"> and subsequent years.</w:t>
      </w:r>
    </w:p>
  </w:footnote>
  <w:footnote w:id="4">
    <w:p w14:paraId="5D0EA8E7" w14:textId="29F4310B" w:rsidR="00FE5346" w:rsidRPr="00DD31B0" w:rsidRDefault="00FE5346" w:rsidP="00265134">
      <w:pPr>
        <w:pStyle w:val="FootnoteText"/>
        <w:tabs>
          <w:tab w:val="center" w:pos="4680"/>
        </w:tabs>
        <w:spacing w:line="240" w:lineRule="auto"/>
        <w:rPr>
          <w:i/>
          <w:iCs/>
          <w:sz w:val="16"/>
          <w:szCs w:val="16"/>
        </w:rPr>
      </w:pPr>
      <w:r w:rsidRPr="00DD31B0">
        <w:rPr>
          <w:rStyle w:val="FootnoteReference"/>
          <w:i/>
          <w:iCs/>
          <w:sz w:val="16"/>
          <w:szCs w:val="16"/>
        </w:rPr>
        <w:footnoteRef/>
      </w:r>
      <w:r w:rsidRPr="00DD31B0">
        <w:rPr>
          <w:i/>
          <w:iCs/>
          <w:sz w:val="16"/>
          <w:szCs w:val="16"/>
        </w:rPr>
        <w:t xml:space="preserve"> </w:t>
      </w:r>
      <w:r w:rsidR="00A35D1D">
        <w:rPr>
          <w:i/>
          <w:iCs/>
          <w:sz w:val="16"/>
          <w:szCs w:val="16"/>
        </w:rPr>
        <w:t xml:space="preserve">See </w:t>
      </w:r>
      <w:hyperlink r:id="rId1" w:history="1">
        <w:r w:rsidR="00084AAF">
          <w:rPr>
            <w:rStyle w:val="Hyperlink"/>
            <w:i/>
            <w:iCs/>
            <w:sz w:val="16"/>
            <w:szCs w:val="16"/>
          </w:rPr>
          <w:t>federalregister.gov</w:t>
        </w:r>
      </w:hyperlink>
      <w:r w:rsidR="00A35D1D" w:rsidRPr="006B4612">
        <w:rPr>
          <w:rStyle w:val="Hyperlink"/>
          <w:i/>
          <w:iCs/>
          <w:color w:val="auto"/>
          <w:sz w:val="16"/>
          <w:szCs w:val="16"/>
          <w:u w:val="none"/>
        </w:rPr>
        <w:t xml:space="preserve"> for more information.</w:t>
      </w:r>
      <w:r w:rsidRPr="00DD31B0" w:rsidDel="009D5B10">
        <w:rPr>
          <w:i/>
          <w:iCs/>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EF653" w14:textId="77777777" w:rsidR="00375215" w:rsidRDefault="00375215">
    <w:pPr>
      <w:ind w:left="-1020"/>
    </w:pPr>
    <w:r>
      <w:rPr>
        <w:sz w:val="20"/>
      </w:rPr>
      <w:t xml:space="preserve"> </w:t>
    </w:r>
  </w:p>
  <w:p w14:paraId="001C8CA6" w14:textId="77777777" w:rsidR="00375215" w:rsidRDefault="00375215">
    <w:pPr>
      <w:ind w:left="-900"/>
    </w:pPr>
    <w:r>
      <w:rPr>
        <w:color w:val="0000FF"/>
        <w:sz w:val="20"/>
      </w:rPr>
      <w:t>Return to Table of Contents</w:t>
    </w:r>
    <w:r>
      <w:rPr>
        <w:sz w:val="20"/>
      </w:rPr>
      <w:t xml:space="preserve"> </w:t>
    </w:r>
  </w:p>
  <w:p w14:paraId="624C5C26" w14:textId="77777777" w:rsidR="00375215" w:rsidRDefault="00375215">
    <w:pPr>
      <w:ind w:left="-1020"/>
    </w:pPr>
    <w:r>
      <w:rPr>
        <w:rFonts w:ascii="Times New Roman" w:eastAsia="Times New Roman" w:hAnsi="Times New Roman" w:cs="Times New Roman"/>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D772B" w14:textId="75C095DB" w:rsidR="00375215" w:rsidRDefault="00561B42" w:rsidP="00B349BE">
    <w:pPr>
      <w:rPr>
        <w:rFonts w:ascii="Arial" w:hAnsi="Arial" w:cs="Arial"/>
        <w:b/>
        <w:bCs/>
        <w:color w:val="096080"/>
        <w:sz w:val="20"/>
        <w:szCs w:val="20"/>
      </w:rPr>
    </w:pPr>
    <w:r w:rsidRPr="00205F68">
      <w:rPr>
        <w:noProof/>
        <w:color w:val="096080"/>
      </w:rPr>
      <w:drawing>
        <wp:anchor distT="0" distB="0" distL="114300" distR="114300" simplePos="0" relativeHeight="251658240" behindDoc="0" locked="0" layoutInCell="1" allowOverlap="1" wp14:anchorId="72ED4372" wp14:editId="1A475F09">
          <wp:simplePos x="0" y="0"/>
          <wp:positionH relativeFrom="margin">
            <wp:posOffset>4676824</wp:posOffset>
          </wp:positionH>
          <wp:positionV relativeFrom="margin">
            <wp:posOffset>-741680</wp:posOffset>
          </wp:positionV>
          <wp:extent cx="1499235" cy="520700"/>
          <wp:effectExtent l="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499235" cy="520700"/>
                  </a:xfrm>
                  <a:prstGeom prst="rect">
                    <a:avLst/>
                  </a:prstGeom>
                </pic:spPr>
              </pic:pic>
            </a:graphicData>
          </a:graphic>
        </wp:anchor>
      </w:drawing>
    </w:r>
    <w:r w:rsidR="00E33608">
      <w:rPr>
        <w:rFonts w:ascii="Arial" w:hAnsi="Arial" w:cs="Arial"/>
        <w:b/>
        <w:bCs/>
        <w:noProof/>
        <w:color w:val="096080"/>
        <w:sz w:val="20"/>
        <w:szCs w:val="20"/>
      </w:rPr>
      <w:t>Georgia Access Policy Manual</w:t>
    </w:r>
    <w:r w:rsidR="00CD1ACE">
      <w:rPr>
        <w:rFonts w:ascii="Arial" w:hAnsi="Arial" w:cs="Arial"/>
        <w:b/>
        <w:bCs/>
        <w:noProof/>
        <w:color w:val="096080"/>
        <w:sz w:val="20"/>
        <w:szCs w:val="20"/>
      </w:rPr>
      <w:t xml:space="preserve">: EDE </w:t>
    </w:r>
    <w:r w:rsidR="00BE1A60">
      <w:rPr>
        <w:rFonts w:ascii="Arial" w:hAnsi="Arial" w:cs="Arial"/>
        <w:b/>
        <w:bCs/>
        <w:noProof/>
        <w:color w:val="096080"/>
        <w:sz w:val="20"/>
        <w:szCs w:val="20"/>
      </w:rPr>
      <w:t xml:space="preserve">Partner </w:t>
    </w:r>
    <w:r w:rsidR="00CD1ACE">
      <w:rPr>
        <w:rFonts w:ascii="Arial" w:hAnsi="Arial" w:cs="Arial"/>
        <w:b/>
        <w:bCs/>
        <w:noProof/>
        <w:color w:val="096080"/>
        <w:sz w:val="20"/>
        <w:szCs w:val="20"/>
      </w:rPr>
      <w:t xml:space="preserve">and </w:t>
    </w:r>
    <w:r w:rsidR="00DB7608">
      <w:rPr>
        <w:rFonts w:ascii="Arial" w:hAnsi="Arial" w:cs="Arial"/>
        <w:b/>
        <w:bCs/>
        <w:noProof/>
        <w:color w:val="096080"/>
        <w:sz w:val="20"/>
        <w:szCs w:val="20"/>
      </w:rPr>
      <w:t>Insurance</w:t>
    </w:r>
    <w:r w:rsidR="00011205">
      <w:rPr>
        <w:rFonts w:ascii="Arial" w:hAnsi="Arial" w:cs="Arial"/>
        <w:b/>
        <w:bCs/>
        <w:noProof/>
        <w:color w:val="096080"/>
        <w:sz w:val="20"/>
        <w:szCs w:val="20"/>
      </w:rPr>
      <w:t xml:space="preserve"> Company</w:t>
    </w:r>
    <w:r w:rsidR="00CD1ACE">
      <w:rPr>
        <w:rFonts w:ascii="Arial" w:hAnsi="Arial" w:cs="Arial"/>
        <w:b/>
        <w:bCs/>
        <w:noProof/>
        <w:color w:val="096080"/>
        <w:sz w:val="20"/>
        <w:szCs w:val="20"/>
      </w:rPr>
      <w:t xml:space="preserve"> Poli</w:t>
    </w:r>
    <w:r w:rsidR="00B349BE">
      <w:rPr>
        <w:rFonts w:ascii="Arial" w:hAnsi="Arial" w:cs="Arial"/>
        <w:b/>
        <w:bCs/>
        <w:noProof/>
        <w:color w:val="096080"/>
        <w:sz w:val="20"/>
        <w:szCs w:val="20"/>
      </w:rPr>
      <w:t>cies</w:t>
    </w:r>
  </w:p>
  <w:p w14:paraId="2AE80950" w14:textId="53B3ED8D" w:rsidR="00375215" w:rsidRDefault="00375215" w:rsidP="00AB0D3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CF569" w14:textId="4A770C48" w:rsidR="00375215" w:rsidRDefault="00E33507" w:rsidP="00E942B4">
    <w:pPr>
      <w:ind w:left="-1020"/>
      <w:jc w:val="right"/>
    </w:pPr>
    <w:r>
      <w:rPr>
        <w:noProof/>
        <w:sz w:val="20"/>
      </w:rPr>
      <w:drawing>
        <wp:inline distT="0" distB="0" distL="0" distR="0" wp14:anchorId="433B1C11" wp14:editId="4A8AE98F">
          <wp:extent cx="1499870" cy="445135"/>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9870" cy="445135"/>
                  </a:xfrm>
                  <a:prstGeom prst="rect">
                    <a:avLst/>
                  </a:prstGeom>
                  <a:noFill/>
                </pic:spPr>
              </pic:pic>
            </a:graphicData>
          </a:graphic>
        </wp:inline>
      </w:drawing>
    </w:r>
    <w:r>
      <w:rPr>
        <w:sz w:val="20"/>
      </w:rPr>
      <w:t xml:space="preserve">        </w:t>
    </w:r>
    <w:r w:rsidR="00375215">
      <w:rPr>
        <w:sz w:val="20"/>
      </w:rPr>
      <w:t xml:space="preserve"> </w:t>
    </w:r>
    <w:r w:rsidR="00E33608">
      <w:rPr>
        <w:sz w:val="20"/>
      </w:rPr>
      <w:t xml:space="preserve">      </w:t>
    </w:r>
    <w:r w:rsidR="00375215">
      <w:rPr>
        <w:sz w:val="20"/>
      </w:rPr>
      <w:t xml:space="preserve"> </w:t>
    </w:r>
    <w:r w:rsidR="002E320B">
      <w:rPr>
        <w:noProof/>
        <w:sz w:val="20"/>
      </w:rPr>
      <w:drawing>
        <wp:inline distT="0" distB="0" distL="0" distR="0" wp14:anchorId="48555419" wp14:editId="402AF147">
          <wp:extent cx="1499870" cy="518160"/>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99870" cy="518160"/>
                  </a:xfrm>
                  <a:prstGeom prst="rect">
                    <a:avLst/>
                  </a:prstGeom>
                  <a:noFill/>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I2FSShgg" int2:invalidationBookmarkName="" int2:hashCode="SradH0SdDJdch8" int2:id="OOZGj7Ey">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611C"/>
    <w:multiLevelType w:val="multilevel"/>
    <w:tmpl w:val="93000E1E"/>
    <w:lvl w:ilvl="0">
      <w:start w:val="1"/>
      <w:numFmt w:val="bullet"/>
      <w:lvlText w:val=""/>
      <w:lvlJc w:val="left"/>
      <w:pPr>
        <w:ind w:left="720" w:hanging="360"/>
      </w:pPr>
      <w:rPr>
        <w:rFonts w:ascii="Symbol" w:hAnsi="Symbol" w:hint="default"/>
      </w:rPr>
    </w:lvl>
    <w:lvl w:ilvl="1">
      <w:start w:val="1"/>
      <w:numFmt w:val="decimal"/>
      <w:isLgl/>
      <w:lvlText w:val="%1.%2"/>
      <w:lvlJc w:val="left"/>
      <w:pPr>
        <w:ind w:left="900" w:hanging="540"/>
      </w:pPr>
      <w:rPr>
        <w:rFonts w:hint="default"/>
        <w:b w:val="0"/>
        <w:color w:val="1F3763" w:themeColor="accent1" w:themeShade="7F"/>
      </w:rPr>
    </w:lvl>
    <w:lvl w:ilvl="2">
      <w:start w:val="2"/>
      <w:numFmt w:val="decimal"/>
      <w:isLgl/>
      <w:lvlText w:val="%1.%2.%3"/>
      <w:lvlJc w:val="left"/>
      <w:pPr>
        <w:ind w:left="1080" w:hanging="720"/>
      </w:pPr>
      <w:rPr>
        <w:rFonts w:hint="default"/>
        <w:b w:val="0"/>
        <w:color w:val="1F3763" w:themeColor="accent1" w:themeShade="7F"/>
      </w:rPr>
    </w:lvl>
    <w:lvl w:ilvl="3">
      <w:start w:val="1"/>
      <w:numFmt w:val="decimal"/>
      <w:isLgl/>
      <w:lvlText w:val="%1.%2.%3.%4"/>
      <w:lvlJc w:val="left"/>
      <w:pPr>
        <w:ind w:left="1080" w:hanging="720"/>
      </w:pPr>
      <w:rPr>
        <w:rFonts w:hint="default"/>
        <w:b w:val="0"/>
        <w:color w:val="1F3763" w:themeColor="accent1" w:themeShade="7F"/>
      </w:rPr>
    </w:lvl>
    <w:lvl w:ilvl="4">
      <w:start w:val="1"/>
      <w:numFmt w:val="decimal"/>
      <w:isLgl/>
      <w:lvlText w:val="%1.%2.%3.%4.%5"/>
      <w:lvlJc w:val="left"/>
      <w:pPr>
        <w:ind w:left="1440" w:hanging="1080"/>
      </w:pPr>
      <w:rPr>
        <w:rFonts w:hint="default"/>
        <w:b w:val="0"/>
        <w:color w:val="1F3763" w:themeColor="accent1" w:themeShade="7F"/>
      </w:rPr>
    </w:lvl>
    <w:lvl w:ilvl="5">
      <w:start w:val="1"/>
      <w:numFmt w:val="decimal"/>
      <w:isLgl/>
      <w:lvlText w:val="%1.%2.%3.%4.%5.%6"/>
      <w:lvlJc w:val="left"/>
      <w:pPr>
        <w:ind w:left="1440" w:hanging="1080"/>
      </w:pPr>
      <w:rPr>
        <w:rFonts w:hint="default"/>
        <w:b w:val="0"/>
        <w:color w:val="1F3763" w:themeColor="accent1" w:themeShade="7F"/>
      </w:rPr>
    </w:lvl>
    <w:lvl w:ilvl="6">
      <w:start w:val="1"/>
      <w:numFmt w:val="decimal"/>
      <w:isLgl/>
      <w:lvlText w:val="%1.%2.%3.%4.%5.%6.%7"/>
      <w:lvlJc w:val="left"/>
      <w:pPr>
        <w:ind w:left="1800" w:hanging="1440"/>
      </w:pPr>
      <w:rPr>
        <w:rFonts w:hint="default"/>
        <w:b w:val="0"/>
        <w:color w:val="1F3763" w:themeColor="accent1" w:themeShade="7F"/>
      </w:rPr>
    </w:lvl>
    <w:lvl w:ilvl="7">
      <w:start w:val="1"/>
      <w:numFmt w:val="decimal"/>
      <w:isLgl/>
      <w:lvlText w:val="%1.%2.%3.%4.%5.%6.%7.%8"/>
      <w:lvlJc w:val="left"/>
      <w:pPr>
        <w:ind w:left="1800" w:hanging="1440"/>
      </w:pPr>
      <w:rPr>
        <w:rFonts w:hint="default"/>
        <w:b w:val="0"/>
        <w:color w:val="1F3763" w:themeColor="accent1" w:themeShade="7F"/>
      </w:rPr>
    </w:lvl>
    <w:lvl w:ilvl="8">
      <w:start w:val="1"/>
      <w:numFmt w:val="decimal"/>
      <w:isLgl/>
      <w:lvlText w:val="%1.%2.%3.%4.%5.%6.%7.%8.%9"/>
      <w:lvlJc w:val="left"/>
      <w:pPr>
        <w:ind w:left="1800" w:hanging="1440"/>
      </w:pPr>
      <w:rPr>
        <w:rFonts w:hint="default"/>
        <w:b w:val="0"/>
        <w:color w:val="1F3763" w:themeColor="accent1" w:themeShade="7F"/>
      </w:rPr>
    </w:lvl>
  </w:abstractNum>
  <w:abstractNum w:abstractNumId="1" w15:restartNumberingAfterBreak="0">
    <w:nsid w:val="00B310FE"/>
    <w:multiLevelType w:val="hybridMultilevel"/>
    <w:tmpl w:val="38523322"/>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2" w15:restartNumberingAfterBreak="0">
    <w:nsid w:val="039F2800"/>
    <w:multiLevelType w:val="multilevel"/>
    <w:tmpl w:val="93000E1E"/>
    <w:lvl w:ilvl="0">
      <w:start w:val="1"/>
      <w:numFmt w:val="bullet"/>
      <w:lvlText w:val=""/>
      <w:lvlJc w:val="left"/>
      <w:pPr>
        <w:ind w:left="720" w:hanging="360"/>
      </w:pPr>
      <w:rPr>
        <w:rFonts w:ascii="Symbol" w:hAnsi="Symbol" w:hint="default"/>
      </w:rPr>
    </w:lvl>
    <w:lvl w:ilvl="1">
      <w:start w:val="1"/>
      <w:numFmt w:val="decimal"/>
      <w:isLgl/>
      <w:lvlText w:val="%1.%2"/>
      <w:lvlJc w:val="left"/>
      <w:pPr>
        <w:ind w:left="900" w:hanging="540"/>
      </w:pPr>
      <w:rPr>
        <w:b w:val="0"/>
        <w:color w:val="1F3763" w:themeColor="accent1" w:themeShade="7F"/>
      </w:rPr>
    </w:lvl>
    <w:lvl w:ilvl="2">
      <w:start w:val="2"/>
      <w:numFmt w:val="decimal"/>
      <w:isLgl/>
      <w:lvlText w:val="%1.%2.%3"/>
      <w:lvlJc w:val="left"/>
      <w:pPr>
        <w:ind w:left="1080" w:hanging="720"/>
      </w:pPr>
      <w:rPr>
        <w:b w:val="0"/>
        <w:color w:val="1F3763" w:themeColor="accent1" w:themeShade="7F"/>
      </w:rPr>
    </w:lvl>
    <w:lvl w:ilvl="3">
      <w:start w:val="1"/>
      <w:numFmt w:val="decimal"/>
      <w:isLgl/>
      <w:lvlText w:val="%1.%2.%3.%4"/>
      <w:lvlJc w:val="left"/>
      <w:pPr>
        <w:ind w:left="1080" w:hanging="720"/>
      </w:pPr>
      <w:rPr>
        <w:b w:val="0"/>
        <w:color w:val="1F3763" w:themeColor="accent1" w:themeShade="7F"/>
      </w:rPr>
    </w:lvl>
    <w:lvl w:ilvl="4">
      <w:start w:val="1"/>
      <w:numFmt w:val="decimal"/>
      <w:isLgl/>
      <w:lvlText w:val="%1.%2.%3.%4.%5"/>
      <w:lvlJc w:val="left"/>
      <w:pPr>
        <w:ind w:left="1440" w:hanging="1080"/>
      </w:pPr>
      <w:rPr>
        <w:b w:val="0"/>
        <w:color w:val="1F3763" w:themeColor="accent1" w:themeShade="7F"/>
      </w:rPr>
    </w:lvl>
    <w:lvl w:ilvl="5">
      <w:start w:val="1"/>
      <w:numFmt w:val="decimal"/>
      <w:isLgl/>
      <w:lvlText w:val="%1.%2.%3.%4.%5.%6"/>
      <w:lvlJc w:val="left"/>
      <w:pPr>
        <w:ind w:left="1440" w:hanging="1080"/>
      </w:pPr>
      <w:rPr>
        <w:b w:val="0"/>
        <w:color w:val="1F3763" w:themeColor="accent1" w:themeShade="7F"/>
      </w:rPr>
    </w:lvl>
    <w:lvl w:ilvl="6">
      <w:start w:val="1"/>
      <w:numFmt w:val="decimal"/>
      <w:isLgl/>
      <w:lvlText w:val="%1.%2.%3.%4.%5.%6.%7"/>
      <w:lvlJc w:val="left"/>
      <w:pPr>
        <w:ind w:left="1800" w:hanging="1440"/>
      </w:pPr>
      <w:rPr>
        <w:b w:val="0"/>
        <w:color w:val="1F3763" w:themeColor="accent1" w:themeShade="7F"/>
      </w:rPr>
    </w:lvl>
    <w:lvl w:ilvl="7">
      <w:start w:val="1"/>
      <w:numFmt w:val="decimal"/>
      <w:isLgl/>
      <w:lvlText w:val="%1.%2.%3.%4.%5.%6.%7.%8"/>
      <w:lvlJc w:val="left"/>
      <w:pPr>
        <w:ind w:left="1800" w:hanging="1440"/>
      </w:pPr>
      <w:rPr>
        <w:b w:val="0"/>
        <w:color w:val="1F3763" w:themeColor="accent1" w:themeShade="7F"/>
      </w:rPr>
    </w:lvl>
    <w:lvl w:ilvl="8">
      <w:start w:val="1"/>
      <w:numFmt w:val="decimal"/>
      <w:isLgl/>
      <w:lvlText w:val="%1.%2.%3.%4.%5.%6.%7.%8.%9"/>
      <w:lvlJc w:val="left"/>
      <w:pPr>
        <w:ind w:left="1800" w:hanging="1440"/>
      </w:pPr>
      <w:rPr>
        <w:b w:val="0"/>
        <w:color w:val="1F3763" w:themeColor="accent1" w:themeShade="7F"/>
      </w:rPr>
    </w:lvl>
  </w:abstractNum>
  <w:abstractNum w:abstractNumId="3" w15:restartNumberingAfterBreak="0">
    <w:nsid w:val="07FC6DA9"/>
    <w:multiLevelType w:val="multilevel"/>
    <w:tmpl w:val="93000E1E"/>
    <w:lvl w:ilvl="0">
      <w:start w:val="1"/>
      <w:numFmt w:val="bullet"/>
      <w:lvlText w:val=""/>
      <w:lvlJc w:val="left"/>
      <w:pPr>
        <w:ind w:left="720" w:hanging="360"/>
      </w:pPr>
      <w:rPr>
        <w:rFonts w:ascii="Symbol" w:hAnsi="Symbol" w:hint="default"/>
      </w:rPr>
    </w:lvl>
    <w:lvl w:ilvl="1">
      <w:start w:val="1"/>
      <w:numFmt w:val="decimal"/>
      <w:isLgl/>
      <w:lvlText w:val="%1.%2"/>
      <w:lvlJc w:val="left"/>
      <w:pPr>
        <w:ind w:left="900" w:hanging="540"/>
      </w:pPr>
      <w:rPr>
        <w:rFonts w:hint="default"/>
        <w:b w:val="0"/>
        <w:color w:val="1F3763" w:themeColor="accent1" w:themeShade="7F"/>
      </w:rPr>
    </w:lvl>
    <w:lvl w:ilvl="2">
      <w:start w:val="2"/>
      <w:numFmt w:val="decimal"/>
      <w:isLgl/>
      <w:lvlText w:val="%1.%2.%3"/>
      <w:lvlJc w:val="left"/>
      <w:pPr>
        <w:ind w:left="1080" w:hanging="720"/>
      </w:pPr>
      <w:rPr>
        <w:rFonts w:hint="default"/>
        <w:b w:val="0"/>
        <w:color w:val="1F3763" w:themeColor="accent1" w:themeShade="7F"/>
      </w:rPr>
    </w:lvl>
    <w:lvl w:ilvl="3">
      <w:start w:val="1"/>
      <w:numFmt w:val="decimal"/>
      <w:isLgl/>
      <w:lvlText w:val="%1.%2.%3.%4"/>
      <w:lvlJc w:val="left"/>
      <w:pPr>
        <w:ind w:left="1080" w:hanging="720"/>
      </w:pPr>
      <w:rPr>
        <w:rFonts w:hint="default"/>
        <w:b w:val="0"/>
        <w:color w:val="1F3763" w:themeColor="accent1" w:themeShade="7F"/>
      </w:rPr>
    </w:lvl>
    <w:lvl w:ilvl="4">
      <w:start w:val="1"/>
      <w:numFmt w:val="decimal"/>
      <w:isLgl/>
      <w:lvlText w:val="%1.%2.%3.%4.%5"/>
      <w:lvlJc w:val="left"/>
      <w:pPr>
        <w:ind w:left="1440" w:hanging="1080"/>
      </w:pPr>
      <w:rPr>
        <w:rFonts w:hint="default"/>
        <w:b w:val="0"/>
        <w:color w:val="1F3763" w:themeColor="accent1" w:themeShade="7F"/>
      </w:rPr>
    </w:lvl>
    <w:lvl w:ilvl="5">
      <w:start w:val="1"/>
      <w:numFmt w:val="decimal"/>
      <w:isLgl/>
      <w:lvlText w:val="%1.%2.%3.%4.%5.%6"/>
      <w:lvlJc w:val="left"/>
      <w:pPr>
        <w:ind w:left="1440" w:hanging="1080"/>
      </w:pPr>
      <w:rPr>
        <w:rFonts w:hint="default"/>
        <w:b w:val="0"/>
        <w:color w:val="1F3763" w:themeColor="accent1" w:themeShade="7F"/>
      </w:rPr>
    </w:lvl>
    <w:lvl w:ilvl="6">
      <w:start w:val="1"/>
      <w:numFmt w:val="decimal"/>
      <w:isLgl/>
      <w:lvlText w:val="%1.%2.%3.%4.%5.%6.%7"/>
      <w:lvlJc w:val="left"/>
      <w:pPr>
        <w:ind w:left="1800" w:hanging="1440"/>
      </w:pPr>
      <w:rPr>
        <w:rFonts w:hint="default"/>
        <w:b w:val="0"/>
        <w:color w:val="1F3763" w:themeColor="accent1" w:themeShade="7F"/>
      </w:rPr>
    </w:lvl>
    <w:lvl w:ilvl="7">
      <w:start w:val="1"/>
      <w:numFmt w:val="decimal"/>
      <w:isLgl/>
      <w:lvlText w:val="%1.%2.%3.%4.%5.%6.%7.%8"/>
      <w:lvlJc w:val="left"/>
      <w:pPr>
        <w:ind w:left="1800" w:hanging="1440"/>
      </w:pPr>
      <w:rPr>
        <w:rFonts w:hint="default"/>
        <w:b w:val="0"/>
        <w:color w:val="1F3763" w:themeColor="accent1" w:themeShade="7F"/>
      </w:rPr>
    </w:lvl>
    <w:lvl w:ilvl="8">
      <w:start w:val="1"/>
      <w:numFmt w:val="decimal"/>
      <w:isLgl/>
      <w:lvlText w:val="%1.%2.%3.%4.%5.%6.%7.%8.%9"/>
      <w:lvlJc w:val="left"/>
      <w:pPr>
        <w:ind w:left="1800" w:hanging="1440"/>
      </w:pPr>
      <w:rPr>
        <w:rFonts w:hint="default"/>
        <w:b w:val="0"/>
        <w:color w:val="1F3763" w:themeColor="accent1" w:themeShade="7F"/>
      </w:rPr>
    </w:lvl>
  </w:abstractNum>
  <w:abstractNum w:abstractNumId="4" w15:restartNumberingAfterBreak="0">
    <w:nsid w:val="08B77D0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8E02CF0"/>
    <w:multiLevelType w:val="hybridMultilevel"/>
    <w:tmpl w:val="2ED4C6E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6A86012"/>
    <w:multiLevelType w:val="hybridMultilevel"/>
    <w:tmpl w:val="9548651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ABB65DA"/>
    <w:multiLevelType w:val="hybridMultilevel"/>
    <w:tmpl w:val="EC367C78"/>
    <w:lvl w:ilvl="0" w:tplc="8D2EA2EA">
      <w:start w:val="1"/>
      <w:numFmt w:val="bullet"/>
      <w:lvlText w:val=""/>
      <w:lvlJc w:val="left"/>
      <w:pPr>
        <w:ind w:left="720" w:hanging="360"/>
      </w:pPr>
      <w:rPr>
        <w:rFonts w:ascii="Symbol" w:hAnsi="Symbol" w:hint="default"/>
      </w:rPr>
    </w:lvl>
    <w:lvl w:ilvl="1" w:tplc="72327B2E">
      <w:start w:val="1"/>
      <w:numFmt w:val="bullet"/>
      <w:lvlText w:val="o"/>
      <w:lvlJc w:val="left"/>
      <w:pPr>
        <w:ind w:left="1440" w:hanging="360"/>
      </w:pPr>
      <w:rPr>
        <w:rFonts w:ascii="Courier New" w:hAnsi="Courier New" w:hint="default"/>
      </w:rPr>
    </w:lvl>
    <w:lvl w:ilvl="2" w:tplc="FD00717E">
      <w:start w:val="1"/>
      <w:numFmt w:val="bullet"/>
      <w:lvlText w:val=""/>
      <w:lvlJc w:val="left"/>
      <w:pPr>
        <w:ind w:left="2160" w:hanging="360"/>
      </w:pPr>
      <w:rPr>
        <w:rFonts w:ascii="Wingdings" w:hAnsi="Wingdings" w:hint="default"/>
      </w:rPr>
    </w:lvl>
    <w:lvl w:ilvl="3" w:tplc="748229BE">
      <w:start w:val="1"/>
      <w:numFmt w:val="bullet"/>
      <w:lvlText w:val=""/>
      <w:lvlJc w:val="left"/>
      <w:pPr>
        <w:ind w:left="2880" w:hanging="360"/>
      </w:pPr>
      <w:rPr>
        <w:rFonts w:ascii="Symbol" w:hAnsi="Symbol" w:hint="default"/>
      </w:rPr>
    </w:lvl>
    <w:lvl w:ilvl="4" w:tplc="EBDAAA8A">
      <w:start w:val="1"/>
      <w:numFmt w:val="bullet"/>
      <w:lvlText w:val="o"/>
      <w:lvlJc w:val="left"/>
      <w:pPr>
        <w:ind w:left="3600" w:hanging="360"/>
      </w:pPr>
      <w:rPr>
        <w:rFonts w:ascii="Courier New" w:hAnsi="Courier New" w:hint="default"/>
      </w:rPr>
    </w:lvl>
    <w:lvl w:ilvl="5" w:tplc="07C6921C">
      <w:start w:val="1"/>
      <w:numFmt w:val="bullet"/>
      <w:lvlText w:val=""/>
      <w:lvlJc w:val="left"/>
      <w:pPr>
        <w:ind w:left="4320" w:hanging="360"/>
      </w:pPr>
      <w:rPr>
        <w:rFonts w:ascii="Wingdings" w:hAnsi="Wingdings" w:hint="default"/>
      </w:rPr>
    </w:lvl>
    <w:lvl w:ilvl="6" w:tplc="AA0E7D4A">
      <w:start w:val="1"/>
      <w:numFmt w:val="bullet"/>
      <w:lvlText w:val=""/>
      <w:lvlJc w:val="left"/>
      <w:pPr>
        <w:ind w:left="5040" w:hanging="360"/>
      </w:pPr>
      <w:rPr>
        <w:rFonts w:ascii="Symbol" w:hAnsi="Symbol" w:hint="default"/>
      </w:rPr>
    </w:lvl>
    <w:lvl w:ilvl="7" w:tplc="1B96D45C">
      <w:start w:val="1"/>
      <w:numFmt w:val="bullet"/>
      <w:lvlText w:val="o"/>
      <w:lvlJc w:val="left"/>
      <w:pPr>
        <w:ind w:left="5760" w:hanging="360"/>
      </w:pPr>
      <w:rPr>
        <w:rFonts w:ascii="Courier New" w:hAnsi="Courier New" w:hint="default"/>
      </w:rPr>
    </w:lvl>
    <w:lvl w:ilvl="8" w:tplc="8118EE16">
      <w:start w:val="1"/>
      <w:numFmt w:val="bullet"/>
      <w:lvlText w:val=""/>
      <w:lvlJc w:val="left"/>
      <w:pPr>
        <w:ind w:left="6480" w:hanging="360"/>
      </w:pPr>
      <w:rPr>
        <w:rFonts w:ascii="Wingdings" w:hAnsi="Wingdings" w:hint="default"/>
      </w:rPr>
    </w:lvl>
  </w:abstractNum>
  <w:abstractNum w:abstractNumId="8" w15:restartNumberingAfterBreak="0">
    <w:nsid w:val="1F9D0349"/>
    <w:multiLevelType w:val="hybridMultilevel"/>
    <w:tmpl w:val="458C7F7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2148734E"/>
    <w:multiLevelType w:val="multilevel"/>
    <w:tmpl w:val="93000E1E"/>
    <w:lvl w:ilvl="0">
      <w:start w:val="1"/>
      <w:numFmt w:val="bullet"/>
      <w:lvlText w:val=""/>
      <w:lvlJc w:val="left"/>
      <w:pPr>
        <w:ind w:left="720" w:hanging="360"/>
      </w:pPr>
      <w:rPr>
        <w:rFonts w:ascii="Symbol" w:hAnsi="Symbol" w:hint="default"/>
      </w:rPr>
    </w:lvl>
    <w:lvl w:ilvl="1">
      <w:start w:val="1"/>
      <w:numFmt w:val="decimal"/>
      <w:isLgl/>
      <w:lvlText w:val="%1.%2"/>
      <w:lvlJc w:val="left"/>
      <w:pPr>
        <w:ind w:left="900" w:hanging="540"/>
      </w:pPr>
      <w:rPr>
        <w:rFonts w:hint="default"/>
        <w:b w:val="0"/>
        <w:color w:val="1F3763" w:themeColor="accent1" w:themeShade="7F"/>
      </w:rPr>
    </w:lvl>
    <w:lvl w:ilvl="2">
      <w:start w:val="2"/>
      <w:numFmt w:val="decimal"/>
      <w:isLgl/>
      <w:lvlText w:val="%1.%2.%3"/>
      <w:lvlJc w:val="left"/>
      <w:pPr>
        <w:ind w:left="1080" w:hanging="720"/>
      </w:pPr>
      <w:rPr>
        <w:rFonts w:hint="default"/>
        <w:b w:val="0"/>
        <w:color w:val="1F3763" w:themeColor="accent1" w:themeShade="7F"/>
      </w:rPr>
    </w:lvl>
    <w:lvl w:ilvl="3">
      <w:start w:val="1"/>
      <w:numFmt w:val="decimal"/>
      <w:isLgl/>
      <w:lvlText w:val="%1.%2.%3.%4"/>
      <w:lvlJc w:val="left"/>
      <w:pPr>
        <w:ind w:left="1080" w:hanging="720"/>
      </w:pPr>
      <w:rPr>
        <w:rFonts w:hint="default"/>
        <w:b w:val="0"/>
        <w:color w:val="1F3763" w:themeColor="accent1" w:themeShade="7F"/>
      </w:rPr>
    </w:lvl>
    <w:lvl w:ilvl="4">
      <w:start w:val="1"/>
      <w:numFmt w:val="decimal"/>
      <w:isLgl/>
      <w:lvlText w:val="%1.%2.%3.%4.%5"/>
      <w:lvlJc w:val="left"/>
      <w:pPr>
        <w:ind w:left="1440" w:hanging="1080"/>
      </w:pPr>
      <w:rPr>
        <w:rFonts w:hint="default"/>
        <w:b w:val="0"/>
        <w:color w:val="1F3763" w:themeColor="accent1" w:themeShade="7F"/>
      </w:rPr>
    </w:lvl>
    <w:lvl w:ilvl="5">
      <w:start w:val="1"/>
      <w:numFmt w:val="decimal"/>
      <w:isLgl/>
      <w:lvlText w:val="%1.%2.%3.%4.%5.%6"/>
      <w:lvlJc w:val="left"/>
      <w:pPr>
        <w:ind w:left="1440" w:hanging="1080"/>
      </w:pPr>
      <w:rPr>
        <w:rFonts w:hint="default"/>
        <w:b w:val="0"/>
        <w:color w:val="1F3763" w:themeColor="accent1" w:themeShade="7F"/>
      </w:rPr>
    </w:lvl>
    <w:lvl w:ilvl="6">
      <w:start w:val="1"/>
      <w:numFmt w:val="decimal"/>
      <w:isLgl/>
      <w:lvlText w:val="%1.%2.%3.%4.%5.%6.%7"/>
      <w:lvlJc w:val="left"/>
      <w:pPr>
        <w:ind w:left="1800" w:hanging="1440"/>
      </w:pPr>
      <w:rPr>
        <w:rFonts w:hint="default"/>
        <w:b w:val="0"/>
        <w:color w:val="1F3763" w:themeColor="accent1" w:themeShade="7F"/>
      </w:rPr>
    </w:lvl>
    <w:lvl w:ilvl="7">
      <w:start w:val="1"/>
      <w:numFmt w:val="decimal"/>
      <w:isLgl/>
      <w:lvlText w:val="%1.%2.%3.%4.%5.%6.%7.%8"/>
      <w:lvlJc w:val="left"/>
      <w:pPr>
        <w:ind w:left="1800" w:hanging="1440"/>
      </w:pPr>
      <w:rPr>
        <w:rFonts w:hint="default"/>
        <w:b w:val="0"/>
        <w:color w:val="1F3763" w:themeColor="accent1" w:themeShade="7F"/>
      </w:rPr>
    </w:lvl>
    <w:lvl w:ilvl="8">
      <w:start w:val="1"/>
      <w:numFmt w:val="decimal"/>
      <w:isLgl/>
      <w:lvlText w:val="%1.%2.%3.%4.%5.%6.%7.%8.%9"/>
      <w:lvlJc w:val="left"/>
      <w:pPr>
        <w:ind w:left="1800" w:hanging="1440"/>
      </w:pPr>
      <w:rPr>
        <w:rFonts w:hint="default"/>
        <w:b w:val="0"/>
        <w:color w:val="1F3763" w:themeColor="accent1" w:themeShade="7F"/>
      </w:rPr>
    </w:lvl>
  </w:abstractNum>
  <w:abstractNum w:abstractNumId="10" w15:restartNumberingAfterBreak="0">
    <w:nsid w:val="235772AC"/>
    <w:multiLevelType w:val="multilevel"/>
    <w:tmpl w:val="93000E1E"/>
    <w:lvl w:ilvl="0">
      <w:start w:val="1"/>
      <w:numFmt w:val="bullet"/>
      <w:lvlText w:val=""/>
      <w:lvlJc w:val="left"/>
      <w:pPr>
        <w:ind w:left="720" w:hanging="360"/>
      </w:pPr>
      <w:rPr>
        <w:rFonts w:ascii="Symbol" w:hAnsi="Symbol" w:hint="default"/>
      </w:rPr>
    </w:lvl>
    <w:lvl w:ilvl="1">
      <w:start w:val="1"/>
      <w:numFmt w:val="decimal"/>
      <w:isLgl/>
      <w:lvlText w:val="%1.%2"/>
      <w:lvlJc w:val="left"/>
      <w:pPr>
        <w:ind w:left="900" w:hanging="540"/>
      </w:pPr>
      <w:rPr>
        <w:b w:val="0"/>
        <w:color w:val="1F3763" w:themeColor="accent1" w:themeShade="7F"/>
      </w:rPr>
    </w:lvl>
    <w:lvl w:ilvl="2">
      <w:start w:val="2"/>
      <w:numFmt w:val="decimal"/>
      <w:isLgl/>
      <w:lvlText w:val="%1.%2.%3"/>
      <w:lvlJc w:val="left"/>
      <w:pPr>
        <w:ind w:left="1080" w:hanging="720"/>
      </w:pPr>
      <w:rPr>
        <w:b w:val="0"/>
        <w:color w:val="1F3763" w:themeColor="accent1" w:themeShade="7F"/>
      </w:rPr>
    </w:lvl>
    <w:lvl w:ilvl="3">
      <w:start w:val="1"/>
      <w:numFmt w:val="decimal"/>
      <w:isLgl/>
      <w:lvlText w:val="%1.%2.%3.%4"/>
      <w:lvlJc w:val="left"/>
      <w:pPr>
        <w:ind w:left="1080" w:hanging="720"/>
      </w:pPr>
      <w:rPr>
        <w:b w:val="0"/>
        <w:color w:val="1F3763" w:themeColor="accent1" w:themeShade="7F"/>
      </w:rPr>
    </w:lvl>
    <w:lvl w:ilvl="4">
      <w:start w:val="1"/>
      <w:numFmt w:val="decimal"/>
      <w:isLgl/>
      <w:lvlText w:val="%1.%2.%3.%4.%5"/>
      <w:lvlJc w:val="left"/>
      <w:pPr>
        <w:ind w:left="1440" w:hanging="1080"/>
      </w:pPr>
      <w:rPr>
        <w:b w:val="0"/>
        <w:color w:val="1F3763" w:themeColor="accent1" w:themeShade="7F"/>
      </w:rPr>
    </w:lvl>
    <w:lvl w:ilvl="5">
      <w:start w:val="1"/>
      <w:numFmt w:val="decimal"/>
      <w:isLgl/>
      <w:lvlText w:val="%1.%2.%3.%4.%5.%6"/>
      <w:lvlJc w:val="left"/>
      <w:pPr>
        <w:ind w:left="1440" w:hanging="1080"/>
      </w:pPr>
      <w:rPr>
        <w:b w:val="0"/>
        <w:color w:val="1F3763" w:themeColor="accent1" w:themeShade="7F"/>
      </w:rPr>
    </w:lvl>
    <w:lvl w:ilvl="6">
      <w:start w:val="1"/>
      <w:numFmt w:val="decimal"/>
      <w:isLgl/>
      <w:lvlText w:val="%1.%2.%3.%4.%5.%6.%7"/>
      <w:lvlJc w:val="left"/>
      <w:pPr>
        <w:ind w:left="1800" w:hanging="1440"/>
      </w:pPr>
      <w:rPr>
        <w:b w:val="0"/>
        <w:color w:val="1F3763" w:themeColor="accent1" w:themeShade="7F"/>
      </w:rPr>
    </w:lvl>
    <w:lvl w:ilvl="7">
      <w:start w:val="1"/>
      <w:numFmt w:val="decimal"/>
      <w:isLgl/>
      <w:lvlText w:val="%1.%2.%3.%4.%5.%6.%7.%8"/>
      <w:lvlJc w:val="left"/>
      <w:pPr>
        <w:ind w:left="1800" w:hanging="1440"/>
      </w:pPr>
      <w:rPr>
        <w:b w:val="0"/>
        <w:color w:val="1F3763" w:themeColor="accent1" w:themeShade="7F"/>
      </w:rPr>
    </w:lvl>
    <w:lvl w:ilvl="8">
      <w:start w:val="1"/>
      <w:numFmt w:val="decimal"/>
      <w:isLgl/>
      <w:lvlText w:val="%1.%2.%3.%4.%5.%6.%7.%8.%9"/>
      <w:lvlJc w:val="left"/>
      <w:pPr>
        <w:ind w:left="1800" w:hanging="1440"/>
      </w:pPr>
      <w:rPr>
        <w:b w:val="0"/>
        <w:color w:val="1F3763" w:themeColor="accent1" w:themeShade="7F"/>
      </w:rPr>
    </w:lvl>
  </w:abstractNum>
  <w:abstractNum w:abstractNumId="11" w15:restartNumberingAfterBreak="0">
    <w:nsid w:val="26901D9C"/>
    <w:multiLevelType w:val="multilevel"/>
    <w:tmpl w:val="1FD45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ACC1499"/>
    <w:multiLevelType w:val="multilevel"/>
    <w:tmpl w:val="EBD4B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C3A7476"/>
    <w:multiLevelType w:val="hybridMultilevel"/>
    <w:tmpl w:val="4DAA01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2AF15F9"/>
    <w:multiLevelType w:val="multilevel"/>
    <w:tmpl w:val="59848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5176B0A"/>
    <w:multiLevelType w:val="multilevel"/>
    <w:tmpl w:val="93000E1E"/>
    <w:lvl w:ilvl="0">
      <w:start w:val="1"/>
      <w:numFmt w:val="bullet"/>
      <w:lvlText w:val=""/>
      <w:lvlJc w:val="left"/>
      <w:pPr>
        <w:ind w:left="720" w:hanging="360"/>
      </w:pPr>
      <w:rPr>
        <w:rFonts w:ascii="Symbol" w:hAnsi="Symbol" w:hint="default"/>
      </w:rPr>
    </w:lvl>
    <w:lvl w:ilvl="1">
      <w:start w:val="1"/>
      <w:numFmt w:val="decimal"/>
      <w:isLgl/>
      <w:lvlText w:val="%1.%2"/>
      <w:lvlJc w:val="left"/>
      <w:pPr>
        <w:ind w:left="900" w:hanging="540"/>
      </w:pPr>
      <w:rPr>
        <w:b w:val="0"/>
        <w:color w:val="1F3763" w:themeColor="accent1" w:themeShade="7F"/>
      </w:rPr>
    </w:lvl>
    <w:lvl w:ilvl="2">
      <w:start w:val="2"/>
      <w:numFmt w:val="decimal"/>
      <w:isLgl/>
      <w:lvlText w:val="%1.%2.%3"/>
      <w:lvlJc w:val="left"/>
      <w:pPr>
        <w:ind w:left="1080" w:hanging="720"/>
      </w:pPr>
      <w:rPr>
        <w:b w:val="0"/>
        <w:color w:val="1F3763" w:themeColor="accent1" w:themeShade="7F"/>
      </w:rPr>
    </w:lvl>
    <w:lvl w:ilvl="3">
      <w:start w:val="1"/>
      <w:numFmt w:val="decimal"/>
      <w:isLgl/>
      <w:lvlText w:val="%1.%2.%3.%4"/>
      <w:lvlJc w:val="left"/>
      <w:pPr>
        <w:ind w:left="1080" w:hanging="720"/>
      </w:pPr>
      <w:rPr>
        <w:b w:val="0"/>
        <w:color w:val="1F3763" w:themeColor="accent1" w:themeShade="7F"/>
      </w:rPr>
    </w:lvl>
    <w:lvl w:ilvl="4">
      <w:start w:val="1"/>
      <w:numFmt w:val="decimal"/>
      <w:isLgl/>
      <w:lvlText w:val="%1.%2.%3.%4.%5"/>
      <w:lvlJc w:val="left"/>
      <w:pPr>
        <w:ind w:left="1440" w:hanging="1080"/>
      </w:pPr>
      <w:rPr>
        <w:b w:val="0"/>
        <w:color w:val="1F3763" w:themeColor="accent1" w:themeShade="7F"/>
      </w:rPr>
    </w:lvl>
    <w:lvl w:ilvl="5">
      <w:start w:val="1"/>
      <w:numFmt w:val="decimal"/>
      <w:isLgl/>
      <w:lvlText w:val="%1.%2.%3.%4.%5.%6"/>
      <w:lvlJc w:val="left"/>
      <w:pPr>
        <w:ind w:left="1440" w:hanging="1080"/>
      </w:pPr>
      <w:rPr>
        <w:b w:val="0"/>
        <w:color w:val="1F3763" w:themeColor="accent1" w:themeShade="7F"/>
      </w:rPr>
    </w:lvl>
    <w:lvl w:ilvl="6">
      <w:start w:val="1"/>
      <w:numFmt w:val="decimal"/>
      <w:isLgl/>
      <w:lvlText w:val="%1.%2.%3.%4.%5.%6.%7"/>
      <w:lvlJc w:val="left"/>
      <w:pPr>
        <w:ind w:left="1800" w:hanging="1440"/>
      </w:pPr>
      <w:rPr>
        <w:b w:val="0"/>
        <w:color w:val="1F3763" w:themeColor="accent1" w:themeShade="7F"/>
      </w:rPr>
    </w:lvl>
    <w:lvl w:ilvl="7">
      <w:start w:val="1"/>
      <w:numFmt w:val="decimal"/>
      <w:isLgl/>
      <w:lvlText w:val="%1.%2.%3.%4.%5.%6.%7.%8"/>
      <w:lvlJc w:val="left"/>
      <w:pPr>
        <w:ind w:left="1800" w:hanging="1440"/>
      </w:pPr>
      <w:rPr>
        <w:b w:val="0"/>
        <w:color w:val="1F3763" w:themeColor="accent1" w:themeShade="7F"/>
      </w:rPr>
    </w:lvl>
    <w:lvl w:ilvl="8">
      <w:start w:val="1"/>
      <w:numFmt w:val="decimal"/>
      <w:isLgl/>
      <w:lvlText w:val="%1.%2.%3.%4.%5.%6.%7.%8.%9"/>
      <w:lvlJc w:val="left"/>
      <w:pPr>
        <w:ind w:left="1800" w:hanging="1440"/>
      </w:pPr>
      <w:rPr>
        <w:b w:val="0"/>
        <w:color w:val="1F3763" w:themeColor="accent1" w:themeShade="7F"/>
      </w:rPr>
    </w:lvl>
  </w:abstractNum>
  <w:abstractNum w:abstractNumId="16" w15:restartNumberingAfterBreak="0">
    <w:nsid w:val="35292BAF"/>
    <w:multiLevelType w:val="multilevel"/>
    <w:tmpl w:val="93000E1E"/>
    <w:lvl w:ilvl="0">
      <w:start w:val="1"/>
      <w:numFmt w:val="bullet"/>
      <w:lvlText w:val=""/>
      <w:lvlJc w:val="left"/>
      <w:pPr>
        <w:ind w:left="720" w:hanging="360"/>
      </w:pPr>
      <w:rPr>
        <w:rFonts w:ascii="Symbol" w:hAnsi="Symbol" w:hint="default"/>
      </w:rPr>
    </w:lvl>
    <w:lvl w:ilvl="1">
      <w:start w:val="1"/>
      <w:numFmt w:val="decimal"/>
      <w:isLgl/>
      <w:lvlText w:val="%1.%2"/>
      <w:lvlJc w:val="left"/>
      <w:pPr>
        <w:ind w:left="900" w:hanging="540"/>
      </w:pPr>
      <w:rPr>
        <w:rFonts w:hint="default"/>
        <w:b w:val="0"/>
        <w:color w:val="1F3763" w:themeColor="accent1" w:themeShade="7F"/>
      </w:rPr>
    </w:lvl>
    <w:lvl w:ilvl="2">
      <w:start w:val="2"/>
      <w:numFmt w:val="decimal"/>
      <w:isLgl/>
      <w:lvlText w:val="%1.%2.%3"/>
      <w:lvlJc w:val="left"/>
      <w:pPr>
        <w:ind w:left="1080" w:hanging="720"/>
      </w:pPr>
      <w:rPr>
        <w:rFonts w:hint="default"/>
        <w:b w:val="0"/>
        <w:color w:val="1F3763" w:themeColor="accent1" w:themeShade="7F"/>
      </w:rPr>
    </w:lvl>
    <w:lvl w:ilvl="3">
      <w:start w:val="1"/>
      <w:numFmt w:val="decimal"/>
      <w:isLgl/>
      <w:lvlText w:val="%1.%2.%3.%4"/>
      <w:lvlJc w:val="left"/>
      <w:pPr>
        <w:ind w:left="1080" w:hanging="720"/>
      </w:pPr>
      <w:rPr>
        <w:rFonts w:hint="default"/>
        <w:b w:val="0"/>
        <w:color w:val="1F3763" w:themeColor="accent1" w:themeShade="7F"/>
      </w:rPr>
    </w:lvl>
    <w:lvl w:ilvl="4">
      <w:start w:val="1"/>
      <w:numFmt w:val="decimal"/>
      <w:isLgl/>
      <w:lvlText w:val="%1.%2.%3.%4.%5"/>
      <w:lvlJc w:val="left"/>
      <w:pPr>
        <w:ind w:left="1440" w:hanging="1080"/>
      </w:pPr>
      <w:rPr>
        <w:rFonts w:hint="default"/>
        <w:b w:val="0"/>
        <w:color w:val="1F3763" w:themeColor="accent1" w:themeShade="7F"/>
      </w:rPr>
    </w:lvl>
    <w:lvl w:ilvl="5">
      <w:start w:val="1"/>
      <w:numFmt w:val="decimal"/>
      <w:isLgl/>
      <w:lvlText w:val="%1.%2.%3.%4.%5.%6"/>
      <w:lvlJc w:val="left"/>
      <w:pPr>
        <w:ind w:left="1440" w:hanging="1080"/>
      </w:pPr>
      <w:rPr>
        <w:rFonts w:hint="default"/>
        <w:b w:val="0"/>
        <w:color w:val="1F3763" w:themeColor="accent1" w:themeShade="7F"/>
      </w:rPr>
    </w:lvl>
    <w:lvl w:ilvl="6">
      <w:start w:val="1"/>
      <w:numFmt w:val="decimal"/>
      <w:isLgl/>
      <w:lvlText w:val="%1.%2.%3.%4.%5.%6.%7"/>
      <w:lvlJc w:val="left"/>
      <w:pPr>
        <w:ind w:left="1800" w:hanging="1440"/>
      </w:pPr>
      <w:rPr>
        <w:rFonts w:hint="default"/>
        <w:b w:val="0"/>
        <w:color w:val="1F3763" w:themeColor="accent1" w:themeShade="7F"/>
      </w:rPr>
    </w:lvl>
    <w:lvl w:ilvl="7">
      <w:start w:val="1"/>
      <w:numFmt w:val="decimal"/>
      <w:isLgl/>
      <w:lvlText w:val="%1.%2.%3.%4.%5.%6.%7.%8"/>
      <w:lvlJc w:val="left"/>
      <w:pPr>
        <w:ind w:left="1800" w:hanging="1440"/>
      </w:pPr>
      <w:rPr>
        <w:rFonts w:hint="default"/>
        <w:b w:val="0"/>
        <w:color w:val="1F3763" w:themeColor="accent1" w:themeShade="7F"/>
      </w:rPr>
    </w:lvl>
    <w:lvl w:ilvl="8">
      <w:start w:val="1"/>
      <w:numFmt w:val="decimal"/>
      <w:isLgl/>
      <w:lvlText w:val="%1.%2.%3.%4.%5.%6.%7.%8.%9"/>
      <w:lvlJc w:val="left"/>
      <w:pPr>
        <w:ind w:left="1800" w:hanging="1440"/>
      </w:pPr>
      <w:rPr>
        <w:rFonts w:hint="default"/>
        <w:b w:val="0"/>
        <w:color w:val="1F3763" w:themeColor="accent1" w:themeShade="7F"/>
      </w:rPr>
    </w:lvl>
  </w:abstractNum>
  <w:abstractNum w:abstractNumId="17" w15:restartNumberingAfterBreak="0">
    <w:nsid w:val="3737699B"/>
    <w:multiLevelType w:val="hybridMultilevel"/>
    <w:tmpl w:val="604811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8CE6D3C"/>
    <w:multiLevelType w:val="hybridMultilevel"/>
    <w:tmpl w:val="ABD69A60"/>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39035EF3"/>
    <w:multiLevelType w:val="multilevel"/>
    <w:tmpl w:val="93000E1E"/>
    <w:lvl w:ilvl="0">
      <w:start w:val="1"/>
      <w:numFmt w:val="bullet"/>
      <w:lvlText w:val=""/>
      <w:lvlJc w:val="left"/>
      <w:pPr>
        <w:ind w:left="720" w:hanging="360"/>
      </w:pPr>
      <w:rPr>
        <w:rFonts w:ascii="Symbol" w:hAnsi="Symbol" w:hint="default"/>
      </w:rPr>
    </w:lvl>
    <w:lvl w:ilvl="1">
      <w:start w:val="1"/>
      <w:numFmt w:val="decimal"/>
      <w:isLgl/>
      <w:lvlText w:val="%1.%2"/>
      <w:lvlJc w:val="left"/>
      <w:pPr>
        <w:ind w:left="900" w:hanging="540"/>
      </w:pPr>
      <w:rPr>
        <w:rFonts w:hint="default"/>
        <w:b w:val="0"/>
        <w:color w:val="1F3763" w:themeColor="accent1" w:themeShade="7F"/>
      </w:rPr>
    </w:lvl>
    <w:lvl w:ilvl="2">
      <w:start w:val="2"/>
      <w:numFmt w:val="decimal"/>
      <w:isLgl/>
      <w:lvlText w:val="%1.%2.%3"/>
      <w:lvlJc w:val="left"/>
      <w:pPr>
        <w:ind w:left="1080" w:hanging="720"/>
      </w:pPr>
      <w:rPr>
        <w:rFonts w:hint="default"/>
        <w:b w:val="0"/>
        <w:color w:val="1F3763" w:themeColor="accent1" w:themeShade="7F"/>
      </w:rPr>
    </w:lvl>
    <w:lvl w:ilvl="3">
      <w:start w:val="1"/>
      <w:numFmt w:val="decimal"/>
      <w:isLgl/>
      <w:lvlText w:val="%1.%2.%3.%4"/>
      <w:lvlJc w:val="left"/>
      <w:pPr>
        <w:ind w:left="1080" w:hanging="720"/>
      </w:pPr>
      <w:rPr>
        <w:rFonts w:hint="default"/>
        <w:b w:val="0"/>
        <w:color w:val="1F3763" w:themeColor="accent1" w:themeShade="7F"/>
      </w:rPr>
    </w:lvl>
    <w:lvl w:ilvl="4">
      <w:start w:val="1"/>
      <w:numFmt w:val="decimal"/>
      <w:isLgl/>
      <w:lvlText w:val="%1.%2.%3.%4.%5"/>
      <w:lvlJc w:val="left"/>
      <w:pPr>
        <w:ind w:left="1440" w:hanging="1080"/>
      </w:pPr>
      <w:rPr>
        <w:rFonts w:hint="default"/>
        <w:b w:val="0"/>
        <w:color w:val="1F3763" w:themeColor="accent1" w:themeShade="7F"/>
      </w:rPr>
    </w:lvl>
    <w:lvl w:ilvl="5">
      <w:start w:val="1"/>
      <w:numFmt w:val="decimal"/>
      <w:isLgl/>
      <w:lvlText w:val="%1.%2.%3.%4.%5.%6"/>
      <w:lvlJc w:val="left"/>
      <w:pPr>
        <w:ind w:left="1440" w:hanging="1080"/>
      </w:pPr>
      <w:rPr>
        <w:rFonts w:hint="default"/>
        <w:b w:val="0"/>
        <w:color w:val="1F3763" w:themeColor="accent1" w:themeShade="7F"/>
      </w:rPr>
    </w:lvl>
    <w:lvl w:ilvl="6">
      <w:start w:val="1"/>
      <w:numFmt w:val="decimal"/>
      <w:isLgl/>
      <w:lvlText w:val="%1.%2.%3.%4.%5.%6.%7"/>
      <w:lvlJc w:val="left"/>
      <w:pPr>
        <w:ind w:left="1800" w:hanging="1440"/>
      </w:pPr>
      <w:rPr>
        <w:rFonts w:hint="default"/>
        <w:b w:val="0"/>
        <w:color w:val="1F3763" w:themeColor="accent1" w:themeShade="7F"/>
      </w:rPr>
    </w:lvl>
    <w:lvl w:ilvl="7">
      <w:start w:val="1"/>
      <w:numFmt w:val="decimal"/>
      <w:isLgl/>
      <w:lvlText w:val="%1.%2.%3.%4.%5.%6.%7.%8"/>
      <w:lvlJc w:val="left"/>
      <w:pPr>
        <w:ind w:left="1800" w:hanging="1440"/>
      </w:pPr>
      <w:rPr>
        <w:rFonts w:hint="default"/>
        <w:b w:val="0"/>
        <w:color w:val="1F3763" w:themeColor="accent1" w:themeShade="7F"/>
      </w:rPr>
    </w:lvl>
    <w:lvl w:ilvl="8">
      <w:start w:val="1"/>
      <w:numFmt w:val="decimal"/>
      <w:isLgl/>
      <w:lvlText w:val="%1.%2.%3.%4.%5.%6.%7.%8.%9"/>
      <w:lvlJc w:val="left"/>
      <w:pPr>
        <w:ind w:left="1800" w:hanging="1440"/>
      </w:pPr>
      <w:rPr>
        <w:rFonts w:hint="default"/>
        <w:b w:val="0"/>
        <w:color w:val="1F3763" w:themeColor="accent1" w:themeShade="7F"/>
      </w:rPr>
    </w:lvl>
  </w:abstractNum>
  <w:abstractNum w:abstractNumId="20" w15:restartNumberingAfterBreak="0">
    <w:nsid w:val="3B376877"/>
    <w:multiLevelType w:val="multilevel"/>
    <w:tmpl w:val="93000E1E"/>
    <w:lvl w:ilvl="0">
      <w:start w:val="1"/>
      <w:numFmt w:val="bullet"/>
      <w:lvlText w:val=""/>
      <w:lvlJc w:val="left"/>
      <w:pPr>
        <w:ind w:left="720" w:hanging="360"/>
      </w:pPr>
      <w:rPr>
        <w:rFonts w:ascii="Symbol" w:hAnsi="Symbol" w:hint="default"/>
      </w:rPr>
    </w:lvl>
    <w:lvl w:ilvl="1">
      <w:start w:val="1"/>
      <w:numFmt w:val="decimal"/>
      <w:isLgl/>
      <w:lvlText w:val="%1.%2"/>
      <w:lvlJc w:val="left"/>
      <w:pPr>
        <w:ind w:left="900" w:hanging="540"/>
      </w:pPr>
      <w:rPr>
        <w:b w:val="0"/>
        <w:color w:val="1F3763" w:themeColor="accent1" w:themeShade="7F"/>
      </w:rPr>
    </w:lvl>
    <w:lvl w:ilvl="2">
      <w:start w:val="2"/>
      <w:numFmt w:val="decimal"/>
      <w:isLgl/>
      <w:lvlText w:val="%1.%2.%3"/>
      <w:lvlJc w:val="left"/>
      <w:pPr>
        <w:ind w:left="1080" w:hanging="720"/>
      </w:pPr>
      <w:rPr>
        <w:b w:val="0"/>
        <w:color w:val="1F3763" w:themeColor="accent1" w:themeShade="7F"/>
      </w:rPr>
    </w:lvl>
    <w:lvl w:ilvl="3">
      <w:start w:val="1"/>
      <w:numFmt w:val="decimal"/>
      <w:isLgl/>
      <w:lvlText w:val="%1.%2.%3.%4"/>
      <w:lvlJc w:val="left"/>
      <w:pPr>
        <w:ind w:left="1080" w:hanging="720"/>
      </w:pPr>
      <w:rPr>
        <w:b w:val="0"/>
        <w:color w:val="1F3763" w:themeColor="accent1" w:themeShade="7F"/>
      </w:rPr>
    </w:lvl>
    <w:lvl w:ilvl="4">
      <w:start w:val="1"/>
      <w:numFmt w:val="decimal"/>
      <w:isLgl/>
      <w:lvlText w:val="%1.%2.%3.%4.%5"/>
      <w:lvlJc w:val="left"/>
      <w:pPr>
        <w:ind w:left="1440" w:hanging="1080"/>
      </w:pPr>
      <w:rPr>
        <w:b w:val="0"/>
        <w:color w:val="1F3763" w:themeColor="accent1" w:themeShade="7F"/>
      </w:rPr>
    </w:lvl>
    <w:lvl w:ilvl="5">
      <w:start w:val="1"/>
      <w:numFmt w:val="decimal"/>
      <w:isLgl/>
      <w:lvlText w:val="%1.%2.%3.%4.%5.%6"/>
      <w:lvlJc w:val="left"/>
      <w:pPr>
        <w:ind w:left="1440" w:hanging="1080"/>
      </w:pPr>
      <w:rPr>
        <w:b w:val="0"/>
        <w:color w:val="1F3763" w:themeColor="accent1" w:themeShade="7F"/>
      </w:rPr>
    </w:lvl>
    <w:lvl w:ilvl="6">
      <w:start w:val="1"/>
      <w:numFmt w:val="decimal"/>
      <w:isLgl/>
      <w:lvlText w:val="%1.%2.%3.%4.%5.%6.%7"/>
      <w:lvlJc w:val="left"/>
      <w:pPr>
        <w:ind w:left="1800" w:hanging="1440"/>
      </w:pPr>
      <w:rPr>
        <w:b w:val="0"/>
        <w:color w:val="1F3763" w:themeColor="accent1" w:themeShade="7F"/>
      </w:rPr>
    </w:lvl>
    <w:lvl w:ilvl="7">
      <w:start w:val="1"/>
      <w:numFmt w:val="decimal"/>
      <w:isLgl/>
      <w:lvlText w:val="%1.%2.%3.%4.%5.%6.%7.%8"/>
      <w:lvlJc w:val="left"/>
      <w:pPr>
        <w:ind w:left="1800" w:hanging="1440"/>
      </w:pPr>
      <w:rPr>
        <w:b w:val="0"/>
        <w:color w:val="1F3763" w:themeColor="accent1" w:themeShade="7F"/>
      </w:rPr>
    </w:lvl>
    <w:lvl w:ilvl="8">
      <w:start w:val="1"/>
      <w:numFmt w:val="decimal"/>
      <w:isLgl/>
      <w:lvlText w:val="%1.%2.%3.%4.%5.%6.%7.%8.%9"/>
      <w:lvlJc w:val="left"/>
      <w:pPr>
        <w:ind w:left="1800" w:hanging="1440"/>
      </w:pPr>
      <w:rPr>
        <w:b w:val="0"/>
        <w:color w:val="1F3763" w:themeColor="accent1" w:themeShade="7F"/>
      </w:rPr>
    </w:lvl>
  </w:abstractNum>
  <w:abstractNum w:abstractNumId="21" w15:restartNumberingAfterBreak="0">
    <w:nsid w:val="3DC31CDC"/>
    <w:multiLevelType w:val="hybridMultilevel"/>
    <w:tmpl w:val="579089EA"/>
    <w:lvl w:ilvl="0" w:tplc="29B0AF22">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ED23844"/>
    <w:multiLevelType w:val="hybridMultilevel"/>
    <w:tmpl w:val="8E388A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09B2BF1"/>
    <w:multiLevelType w:val="multilevel"/>
    <w:tmpl w:val="93000E1E"/>
    <w:lvl w:ilvl="0">
      <w:start w:val="1"/>
      <w:numFmt w:val="bullet"/>
      <w:lvlText w:val=""/>
      <w:lvlJc w:val="left"/>
      <w:pPr>
        <w:ind w:left="720" w:hanging="360"/>
      </w:pPr>
      <w:rPr>
        <w:rFonts w:ascii="Symbol" w:hAnsi="Symbol" w:hint="default"/>
      </w:rPr>
    </w:lvl>
    <w:lvl w:ilvl="1">
      <w:start w:val="1"/>
      <w:numFmt w:val="decimal"/>
      <w:isLgl/>
      <w:lvlText w:val="%1.%2"/>
      <w:lvlJc w:val="left"/>
      <w:pPr>
        <w:ind w:left="900" w:hanging="540"/>
      </w:pPr>
      <w:rPr>
        <w:rFonts w:hint="default"/>
        <w:b w:val="0"/>
        <w:color w:val="1F3763" w:themeColor="accent1" w:themeShade="7F"/>
      </w:rPr>
    </w:lvl>
    <w:lvl w:ilvl="2">
      <w:start w:val="2"/>
      <w:numFmt w:val="decimal"/>
      <w:isLgl/>
      <w:lvlText w:val="%1.%2.%3"/>
      <w:lvlJc w:val="left"/>
      <w:pPr>
        <w:ind w:left="1080" w:hanging="720"/>
      </w:pPr>
      <w:rPr>
        <w:rFonts w:hint="default"/>
        <w:b w:val="0"/>
        <w:color w:val="1F3763" w:themeColor="accent1" w:themeShade="7F"/>
      </w:rPr>
    </w:lvl>
    <w:lvl w:ilvl="3">
      <w:start w:val="1"/>
      <w:numFmt w:val="decimal"/>
      <w:isLgl/>
      <w:lvlText w:val="%1.%2.%3.%4"/>
      <w:lvlJc w:val="left"/>
      <w:pPr>
        <w:ind w:left="1080" w:hanging="720"/>
      </w:pPr>
      <w:rPr>
        <w:rFonts w:hint="default"/>
        <w:b w:val="0"/>
        <w:color w:val="1F3763" w:themeColor="accent1" w:themeShade="7F"/>
      </w:rPr>
    </w:lvl>
    <w:lvl w:ilvl="4">
      <w:start w:val="1"/>
      <w:numFmt w:val="decimal"/>
      <w:isLgl/>
      <w:lvlText w:val="%1.%2.%3.%4.%5"/>
      <w:lvlJc w:val="left"/>
      <w:pPr>
        <w:ind w:left="1440" w:hanging="1080"/>
      </w:pPr>
      <w:rPr>
        <w:rFonts w:hint="default"/>
        <w:b w:val="0"/>
        <w:color w:val="1F3763" w:themeColor="accent1" w:themeShade="7F"/>
      </w:rPr>
    </w:lvl>
    <w:lvl w:ilvl="5">
      <w:start w:val="1"/>
      <w:numFmt w:val="decimal"/>
      <w:isLgl/>
      <w:lvlText w:val="%1.%2.%3.%4.%5.%6"/>
      <w:lvlJc w:val="left"/>
      <w:pPr>
        <w:ind w:left="1440" w:hanging="1080"/>
      </w:pPr>
      <w:rPr>
        <w:rFonts w:hint="default"/>
        <w:b w:val="0"/>
        <w:color w:val="1F3763" w:themeColor="accent1" w:themeShade="7F"/>
      </w:rPr>
    </w:lvl>
    <w:lvl w:ilvl="6">
      <w:start w:val="1"/>
      <w:numFmt w:val="decimal"/>
      <w:isLgl/>
      <w:lvlText w:val="%1.%2.%3.%4.%5.%6.%7"/>
      <w:lvlJc w:val="left"/>
      <w:pPr>
        <w:ind w:left="1800" w:hanging="1440"/>
      </w:pPr>
      <w:rPr>
        <w:rFonts w:hint="default"/>
        <w:b w:val="0"/>
        <w:color w:val="1F3763" w:themeColor="accent1" w:themeShade="7F"/>
      </w:rPr>
    </w:lvl>
    <w:lvl w:ilvl="7">
      <w:start w:val="1"/>
      <w:numFmt w:val="decimal"/>
      <w:isLgl/>
      <w:lvlText w:val="%1.%2.%3.%4.%5.%6.%7.%8"/>
      <w:lvlJc w:val="left"/>
      <w:pPr>
        <w:ind w:left="1800" w:hanging="1440"/>
      </w:pPr>
      <w:rPr>
        <w:rFonts w:hint="default"/>
        <w:b w:val="0"/>
        <w:color w:val="1F3763" w:themeColor="accent1" w:themeShade="7F"/>
      </w:rPr>
    </w:lvl>
    <w:lvl w:ilvl="8">
      <w:start w:val="1"/>
      <w:numFmt w:val="decimal"/>
      <w:isLgl/>
      <w:lvlText w:val="%1.%2.%3.%4.%5.%6.%7.%8.%9"/>
      <w:lvlJc w:val="left"/>
      <w:pPr>
        <w:ind w:left="1800" w:hanging="1440"/>
      </w:pPr>
      <w:rPr>
        <w:rFonts w:hint="default"/>
        <w:b w:val="0"/>
        <w:color w:val="1F3763" w:themeColor="accent1" w:themeShade="7F"/>
      </w:rPr>
    </w:lvl>
  </w:abstractNum>
  <w:abstractNum w:abstractNumId="24" w15:restartNumberingAfterBreak="0">
    <w:nsid w:val="45BF64B4"/>
    <w:multiLevelType w:val="multilevel"/>
    <w:tmpl w:val="93000E1E"/>
    <w:lvl w:ilvl="0">
      <w:start w:val="1"/>
      <w:numFmt w:val="bullet"/>
      <w:lvlText w:val=""/>
      <w:lvlJc w:val="left"/>
      <w:pPr>
        <w:ind w:left="720" w:hanging="360"/>
      </w:pPr>
      <w:rPr>
        <w:rFonts w:ascii="Symbol" w:hAnsi="Symbol" w:hint="default"/>
      </w:rPr>
    </w:lvl>
    <w:lvl w:ilvl="1">
      <w:start w:val="1"/>
      <w:numFmt w:val="decimal"/>
      <w:isLgl/>
      <w:lvlText w:val="%1.%2"/>
      <w:lvlJc w:val="left"/>
      <w:pPr>
        <w:ind w:left="900" w:hanging="540"/>
      </w:pPr>
      <w:rPr>
        <w:rFonts w:hint="default"/>
        <w:b w:val="0"/>
        <w:color w:val="1F3763" w:themeColor="accent1" w:themeShade="7F"/>
      </w:rPr>
    </w:lvl>
    <w:lvl w:ilvl="2">
      <w:start w:val="2"/>
      <w:numFmt w:val="decimal"/>
      <w:isLgl/>
      <w:lvlText w:val="%1.%2.%3"/>
      <w:lvlJc w:val="left"/>
      <w:pPr>
        <w:ind w:left="1080" w:hanging="720"/>
      </w:pPr>
      <w:rPr>
        <w:rFonts w:hint="default"/>
        <w:b w:val="0"/>
        <w:color w:val="1F3763" w:themeColor="accent1" w:themeShade="7F"/>
      </w:rPr>
    </w:lvl>
    <w:lvl w:ilvl="3">
      <w:start w:val="1"/>
      <w:numFmt w:val="decimal"/>
      <w:isLgl/>
      <w:lvlText w:val="%1.%2.%3.%4"/>
      <w:lvlJc w:val="left"/>
      <w:pPr>
        <w:ind w:left="1080" w:hanging="720"/>
      </w:pPr>
      <w:rPr>
        <w:rFonts w:hint="default"/>
        <w:b w:val="0"/>
        <w:color w:val="1F3763" w:themeColor="accent1" w:themeShade="7F"/>
      </w:rPr>
    </w:lvl>
    <w:lvl w:ilvl="4">
      <w:start w:val="1"/>
      <w:numFmt w:val="decimal"/>
      <w:isLgl/>
      <w:lvlText w:val="%1.%2.%3.%4.%5"/>
      <w:lvlJc w:val="left"/>
      <w:pPr>
        <w:ind w:left="1440" w:hanging="1080"/>
      </w:pPr>
      <w:rPr>
        <w:rFonts w:hint="default"/>
        <w:b w:val="0"/>
        <w:color w:val="1F3763" w:themeColor="accent1" w:themeShade="7F"/>
      </w:rPr>
    </w:lvl>
    <w:lvl w:ilvl="5">
      <w:start w:val="1"/>
      <w:numFmt w:val="decimal"/>
      <w:isLgl/>
      <w:lvlText w:val="%1.%2.%3.%4.%5.%6"/>
      <w:lvlJc w:val="left"/>
      <w:pPr>
        <w:ind w:left="1440" w:hanging="1080"/>
      </w:pPr>
      <w:rPr>
        <w:rFonts w:hint="default"/>
        <w:b w:val="0"/>
        <w:color w:val="1F3763" w:themeColor="accent1" w:themeShade="7F"/>
      </w:rPr>
    </w:lvl>
    <w:lvl w:ilvl="6">
      <w:start w:val="1"/>
      <w:numFmt w:val="decimal"/>
      <w:isLgl/>
      <w:lvlText w:val="%1.%2.%3.%4.%5.%6.%7"/>
      <w:lvlJc w:val="left"/>
      <w:pPr>
        <w:ind w:left="1800" w:hanging="1440"/>
      </w:pPr>
      <w:rPr>
        <w:rFonts w:hint="default"/>
        <w:b w:val="0"/>
        <w:color w:val="1F3763" w:themeColor="accent1" w:themeShade="7F"/>
      </w:rPr>
    </w:lvl>
    <w:lvl w:ilvl="7">
      <w:start w:val="1"/>
      <w:numFmt w:val="decimal"/>
      <w:isLgl/>
      <w:lvlText w:val="%1.%2.%3.%4.%5.%6.%7.%8"/>
      <w:lvlJc w:val="left"/>
      <w:pPr>
        <w:ind w:left="1800" w:hanging="1440"/>
      </w:pPr>
      <w:rPr>
        <w:rFonts w:hint="default"/>
        <w:b w:val="0"/>
        <w:color w:val="1F3763" w:themeColor="accent1" w:themeShade="7F"/>
      </w:rPr>
    </w:lvl>
    <w:lvl w:ilvl="8">
      <w:start w:val="1"/>
      <w:numFmt w:val="decimal"/>
      <w:isLgl/>
      <w:lvlText w:val="%1.%2.%3.%4.%5.%6.%7.%8.%9"/>
      <w:lvlJc w:val="left"/>
      <w:pPr>
        <w:ind w:left="1800" w:hanging="1440"/>
      </w:pPr>
      <w:rPr>
        <w:rFonts w:hint="default"/>
        <w:b w:val="0"/>
        <w:color w:val="1F3763" w:themeColor="accent1" w:themeShade="7F"/>
      </w:rPr>
    </w:lvl>
  </w:abstractNum>
  <w:abstractNum w:abstractNumId="25" w15:restartNumberingAfterBreak="0">
    <w:nsid w:val="466D75D9"/>
    <w:multiLevelType w:val="hybridMultilevel"/>
    <w:tmpl w:val="B02AD8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AA85D48"/>
    <w:multiLevelType w:val="multilevel"/>
    <w:tmpl w:val="93000E1E"/>
    <w:lvl w:ilvl="0">
      <w:start w:val="1"/>
      <w:numFmt w:val="bullet"/>
      <w:lvlText w:val=""/>
      <w:lvlJc w:val="left"/>
      <w:pPr>
        <w:ind w:left="720" w:hanging="360"/>
      </w:pPr>
      <w:rPr>
        <w:rFonts w:ascii="Symbol" w:hAnsi="Symbol" w:hint="default"/>
      </w:rPr>
    </w:lvl>
    <w:lvl w:ilvl="1">
      <w:start w:val="1"/>
      <w:numFmt w:val="decimal"/>
      <w:isLgl/>
      <w:lvlText w:val="%1.%2"/>
      <w:lvlJc w:val="left"/>
      <w:pPr>
        <w:ind w:left="900" w:hanging="540"/>
      </w:pPr>
      <w:rPr>
        <w:b w:val="0"/>
        <w:color w:val="1F3763" w:themeColor="accent1" w:themeShade="7F"/>
      </w:rPr>
    </w:lvl>
    <w:lvl w:ilvl="2">
      <w:start w:val="2"/>
      <w:numFmt w:val="decimal"/>
      <w:isLgl/>
      <w:lvlText w:val="%1.%2.%3"/>
      <w:lvlJc w:val="left"/>
      <w:pPr>
        <w:ind w:left="1080" w:hanging="720"/>
      </w:pPr>
      <w:rPr>
        <w:b w:val="0"/>
        <w:color w:val="1F3763" w:themeColor="accent1" w:themeShade="7F"/>
      </w:rPr>
    </w:lvl>
    <w:lvl w:ilvl="3">
      <w:start w:val="1"/>
      <w:numFmt w:val="decimal"/>
      <w:isLgl/>
      <w:lvlText w:val="%1.%2.%3.%4"/>
      <w:lvlJc w:val="left"/>
      <w:pPr>
        <w:ind w:left="1080" w:hanging="720"/>
      </w:pPr>
      <w:rPr>
        <w:b w:val="0"/>
        <w:color w:val="1F3763" w:themeColor="accent1" w:themeShade="7F"/>
      </w:rPr>
    </w:lvl>
    <w:lvl w:ilvl="4">
      <w:start w:val="1"/>
      <w:numFmt w:val="decimal"/>
      <w:isLgl/>
      <w:lvlText w:val="%1.%2.%3.%4.%5"/>
      <w:lvlJc w:val="left"/>
      <w:pPr>
        <w:ind w:left="1440" w:hanging="1080"/>
      </w:pPr>
      <w:rPr>
        <w:b w:val="0"/>
        <w:color w:val="1F3763" w:themeColor="accent1" w:themeShade="7F"/>
      </w:rPr>
    </w:lvl>
    <w:lvl w:ilvl="5">
      <w:start w:val="1"/>
      <w:numFmt w:val="decimal"/>
      <w:isLgl/>
      <w:lvlText w:val="%1.%2.%3.%4.%5.%6"/>
      <w:lvlJc w:val="left"/>
      <w:pPr>
        <w:ind w:left="1440" w:hanging="1080"/>
      </w:pPr>
      <w:rPr>
        <w:b w:val="0"/>
        <w:color w:val="1F3763" w:themeColor="accent1" w:themeShade="7F"/>
      </w:rPr>
    </w:lvl>
    <w:lvl w:ilvl="6">
      <w:start w:val="1"/>
      <w:numFmt w:val="decimal"/>
      <w:isLgl/>
      <w:lvlText w:val="%1.%2.%3.%4.%5.%6.%7"/>
      <w:lvlJc w:val="left"/>
      <w:pPr>
        <w:ind w:left="1800" w:hanging="1440"/>
      </w:pPr>
      <w:rPr>
        <w:b w:val="0"/>
        <w:color w:val="1F3763" w:themeColor="accent1" w:themeShade="7F"/>
      </w:rPr>
    </w:lvl>
    <w:lvl w:ilvl="7">
      <w:start w:val="1"/>
      <w:numFmt w:val="decimal"/>
      <w:isLgl/>
      <w:lvlText w:val="%1.%2.%3.%4.%5.%6.%7.%8"/>
      <w:lvlJc w:val="left"/>
      <w:pPr>
        <w:ind w:left="1800" w:hanging="1440"/>
      </w:pPr>
      <w:rPr>
        <w:b w:val="0"/>
        <w:color w:val="1F3763" w:themeColor="accent1" w:themeShade="7F"/>
      </w:rPr>
    </w:lvl>
    <w:lvl w:ilvl="8">
      <w:start w:val="1"/>
      <w:numFmt w:val="decimal"/>
      <w:isLgl/>
      <w:lvlText w:val="%1.%2.%3.%4.%5.%6.%7.%8.%9"/>
      <w:lvlJc w:val="left"/>
      <w:pPr>
        <w:ind w:left="1800" w:hanging="1440"/>
      </w:pPr>
      <w:rPr>
        <w:b w:val="0"/>
        <w:color w:val="1F3763" w:themeColor="accent1" w:themeShade="7F"/>
      </w:rPr>
    </w:lvl>
  </w:abstractNum>
  <w:abstractNum w:abstractNumId="27" w15:restartNumberingAfterBreak="0">
    <w:nsid w:val="519764E3"/>
    <w:multiLevelType w:val="hybridMultilevel"/>
    <w:tmpl w:val="E830298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BB578B"/>
    <w:multiLevelType w:val="multilevel"/>
    <w:tmpl w:val="7758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5FF54E4"/>
    <w:multiLevelType w:val="hybridMultilevel"/>
    <w:tmpl w:val="3B6C0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96A7EC7"/>
    <w:multiLevelType w:val="multilevel"/>
    <w:tmpl w:val="93000E1E"/>
    <w:lvl w:ilvl="0">
      <w:start w:val="1"/>
      <w:numFmt w:val="bullet"/>
      <w:lvlText w:val=""/>
      <w:lvlJc w:val="left"/>
      <w:pPr>
        <w:ind w:left="720" w:hanging="360"/>
      </w:pPr>
      <w:rPr>
        <w:rFonts w:ascii="Symbol" w:hAnsi="Symbol" w:hint="default"/>
      </w:rPr>
    </w:lvl>
    <w:lvl w:ilvl="1">
      <w:start w:val="1"/>
      <w:numFmt w:val="decimal"/>
      <w:isLgl/>
      <w:lvlText w:val="%1.%2"/>
      <w:lvlJc w:val="left"/>
      <w:pPr>
        <w:ind w:left="900" w:hanging="540"/>
      </w:pPr>
      <w:rPr>
        <w:rFonts w:hint="default"/>
        <w:b w:val="0"/>
        <w:color w:val="1F3763" w:themeColor="accent1" w:themeShade="7F"/>
      </w:rPr>
    </w:lvl>
    <w:lvl w:ilvl="2">
      <w:start w:val="2"/>
      <w:numFmt w:val="decimal"/>
      <w:isLgl/>
      <w:lvlText w:val="%1.%2.%3"/>
      <w:lvlJc w:val="left"/>
      <w:pPr>
        <w:ind w:left="1080" w:hanging="720"/>
      </w:pPr>
      <w:rPr>
        <w:rFonts w:hint="default"/>
        <w:b w:val="0"/>
        <w:color w:val="1F3763" w:themeColor="accent1" w:themeShade="7F"/>
      </w:rPr>
    </w:lvl>
    <w:lvl w:ilvl="3">
      <w:start w:val="1"/>
      <w:numFmt w:val="decimal"/>
      <w:isLgl/>
      <w:lvlText w:val="%1.%2.%3.%4"/>
      <w:lvlJc w:val="left"/>
      <w:pPr>
        <w:ind w:left="1080" w:hanging="720"/>
      </w:pPr>
      <w:rPr>
        <w:rFonts w:hint="default"/>
        <w:b w:val="0"/>
        <w:color w:val="1F3763" w:themeColor="accent1" w:themeShade="7F"/>
      </w:rPr>
    </w:lvl>
    <w:lvl w:ilvl="4">
      <w:start w:val="1"/>
      <w:numFmt w:val="decimal"/>
      <w:isLgl/>
      <w:lvlText w:val="%1.%2.%3.%4.%5"/>
      <w:lvlJc w:val="left"/>
      <w:pPr>
        <w:ind w:left="1440" w:hanging="1080"/>
      </w:pPr>
      <w:rPr>
        <w:rFonts w:hint="default"/>
        <w:b w:val="0"/>
        <w:color w:val="1F3763" w:themeColor="accent1" w:themeShade="7F"/>
      </w:rPr>
    </w:lvl>
    <w:lvl w:ilvl="5">
      <w:start w:val="1"/>
      <w:numFmt w:val="decimal"/>
      <w:isLgl/>
      <w:lvlText w:val="%1.%2.%3.%4.%5.%6"/>
      <w:lvlJc w:val="left"/>
      <w:pPr>
        <w:ind w:left="1440" w:hanging="1080"/>
      </w:pPr>
      <w:rPr>
        <w:rFonts w:hint="default"/>
        <w:b w:val="0"/>
        <w:color w:val="1F3763" w:themeColor="accent1" w:themeShade="7F"/>
      </w:rPr>
    </w:lvl>
    <w:lvl w:ilvl="6">
      <w:start w:val="1"/>
      <w:numFmt w:val="decimal"/>
      <w:isLgl/>
      <w:lvlText w:val="%1.%2.%3.%4.%5.%6.%7"/>
      <w:lvlJc w:val="left"/>
      <w:pPr>
        <w:ind w:left="1800" w:hanging="1440"/>
      </w:pPr>
      <w:rPr>
        <w:rFonts w:hint="default"/>
        <w:b w:val="0"/>
        <w:color w:val="1F3763" w:themeColor="accent1" w:themeShade="7F"/>
      </w:rPr>
    </w:lvl>
    <w:lvl w:ilvl="7">
      <w:start w:val="1"/>
      <w:numFmt w:val="decimal"/>
      <w:isLgl/>
      <w:lvlText w:val="%1.%2.%3.%4.%5.%6.%7.%8"/>
      <w:lvlJc w:val="left"/>
      <w:pPr>
        <w:ind w:left="1800" w:hanging="1440"/>
      </w:pPr>
      <w:rPr>
        <w:rFonts w:hint="default"/>
        <w:b w:val="0"/>
        <w:color w:val="1F3763" w:themeColor="accent1" w:themeShade="7F"/>
      </w:rPr>
    </w:lvl>
    <w:lvl w:ilvl="8">
      <w:start w:val="1"/>
      <w:numFmt w:val="decimal"/>
      <w:isLgl/>
      <w:lvlText w:val="%1.%2.%3.%4.%5.%6.%7.%8.%9"/>
      <w:lvlJc w:val="left"/>
      <w:pPr>
        <w:ind w:left="1800" w:hanging="1440"/>
      </w:pPr>
      <w:rPr>
        <w:rFonts w:hint="default"/>
        <w:b w:val="0"/>
        <w:color w:val="1F3763" w:themeColor="accent1" w:themeShade="7F"/>
      </w:rPr>
    </w:lvl>
  </w:abstractNum>
  <w:abstractNum w:abstractNumId="31" w15:restartNumberingAfterBreak="0">
    <w:nsid w:val="59BC4605"/>
    <w:multiLevelType w:val="multilevel"/>
    <w:tmpl w:val="93000E1E"/>
    <w:lvl w:ilvl="0">
      <w:start w:val="1"/>
      <w:numFmt w:val="bullet"/>
      <w:lvlText w:val=""/>
      <w:lvlJc w:val="left"/>
      <w:pPr>
        <w:ind w:left="720" w:hanging="360"/>
      </w:pPr>
      <w:rPr>
        <w:rFonts w:ascii="Symbol" w:hAnsi="Symbol" w:hint="default"/>
        <w:color w:val="000000" w:themeColor="text1"/>
      </w:rPr>
    </w:lvl>
    <w:lvl w:ilvl="1">
      <w:start w:val="1"/>
      <w:numFmt w:val="decimal"/>
      <w:isLgl/>
      <w:lvlText w:val="%1.%2"/>
      <w:lvlJc w:val="left"/>
      <w:pPr>
        <w:ind w:left="900" w:hanging="540"/>
      </w:pPr>
      <w:rPr>
        <w:rFonts w:hint="default"/>
        <w:b w:val="0"/>
        <w:color w:val="1F3763" w:themeColor="accent1" w:themeShade="7F"/>
      </w:rPr>
    </w:lvl>
    <w:lvl w:ilvl="2">
      <w:start w:val="2"/>
      <w:numFmt w:val="decimal"/>
      <w:isLgl/>
      <w:lvlText w:val="%1.%2.%3"/>
      <w:lvlJc w:val="left"/>
      <w:pPr>
        <w:ind w:left="1080" w:hanging="720"/>
      </w:pPr>
      <w:rPr>
        <w:rFonts w:hint="default"/>
        <w:b w:val="0"/>
        <w:color w:val="1F3763" w:themeColor="accent1" w:themeShade="7F"/>
      </w:rPr>
    </w:lvl>
    <w:lvl w:ilvl="3">
      <w:start w:val="1"/>
      <w:numFmt w:val="decimal"/>
      <w:isLgl/>
      <w:lvlText w:val="%1.%2.%3.%4"/>
      <w:lvlJc w:val="left"/>
      <w:pPr>
        <w:ind w:left="1080" w:hanging="720"/>
      </w:pPr>
      <w:rPr>
        <w:rFonts w:hint="default"/>
        <w:b w:val="0"/>
        <w:color w:val="1F3763" w:themeColor="accent1" w:themeShade="7F"/>
      </w:rPr>
    </w:lvl>
    <w:lvl w:ilvl="4">
      <w:start w:val="1"/>
      <w:numFmt w:val="decimal"/>
      <w:isLgl/>
      <w:lvlText w:val="%1.%2.%3.%4.%5"/>
      <w:lvlJc w:val="left"/>
      <w:pPr>
        <w:ind w:left="1440" w:hanging="1080"/>
      </w:pPr>
      <w:rPr>
        <w:rFonts w:hint="default"/>
        <w:b w:val="0"/>
        <w:color w:val="1F3763" w:themeColor="accent1" w:themeShade="7F"/>
      </w:rPr>
    </w:lvl>
    <w:lvl w:ilvl="5">
      <w:start w:val="1"/>
      <w:numFmt w:val="decimal"/>
      <w:isLgl/>
      <w:lvlText w:val="%1.%2.%3.%4.%5.%6"/>
      <w:lvlJc w:val="left"/>
      <w:pPr>
        <w:ind w:left="1440" w:hanging="1080"/>
      </w:pPr>
      <w:rPr>
        <w:rFonts w:hint="default"/>
        <w:b w:val="0"/>
        <w:color w:val="1F3763" w:themeColor="accent1" w:themeShade="7F"/>
      </w:rPr>
    </w:lvl>
    <w:lvl w:ilvl="6">
      <w:start w:val="1"/>
      <w:numFmt w:val="decimal"/>
      <w:isLgl/>
      <w:lvlText w:val="%1.%2.%3.%4.%5.%6.%7"/>
      <w:lvlJc w:val="left"/>
      <w:pPr>
        <w:ind w:left="1800" w:hanging="1440"/>
      </w:pPr>
      <w:rPr>
        <w:rFonts w:hint="default"/>
        <w:b w:val="0"/>
        <w:color w:val="1F3763" w:themeColor="accent1" w:themeShade="7F"/>
      </w:rPr>
    </w:lvl>
    <w:lvl w:ilvl="7">
      <w:start w:val="1"/>
      <w:numFmt w:val="decimal"/>
      <w:isLgl/>
      <w:lvlText w:val="%1.%2.%3.%4.%5.%6.%7.%8"/>
      <w:lvlJc w:val="left"/>
      <w:pPr>
        <w:ind w:left="1800" w:hanging="1440"/>
      </w:pPr>
      <w:rPr>
        <w:rFonts w:hint="default"/>
        <w:b w:val="0"/>
        <w:color w:val="1F3763" w:themeColor="accent1" w:themeShade="7F"/>
      </w:rPr>
    </w:lvl>
    <w:lvl w:ilvl="8">
      <w:start w:val="1"/>
      <w:numFmt w:val="decimal"/>
      <w:isLgl/>
      <w:lvlText w:val="%1.%2.%3.%4.%5.%6.%7.%8.%9"/>
      <w:lvlJc w:val="left"/>
      <w:pPr>
        <w:ind w:left="1800" w:hanging="1440"/>
      </w:pPr>
      <w:rPr>
        <w:rFonts w:hint="default"/>
        <w:b w:val="0"/>
        <w:color w:val="1F3763" w:themeColor="accent1" w:themeShade="7F"/>
      </w:rPr>
    </w:lvl>
  </w:abstractNum>
  <w:abstractNum w:abstractNumId="32" w15:restartNumberingAfterBreak="0">
    <w:nsid w:val="5E994F09"/>
    <w:multiLevelType w:val="hybridMultilevel"/>
    <w:tmpl w:val="DE0CEF2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3" w15:restartNumberingAfterBreak="0">
    <w:nsid w:val="6097576F"/>
    <w:multiLevelType w:val="hybridMultilevel"/>
    <w:tmpl w:val="EB2CB40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027707"/>
    <w:multiLevelType w:val="multilevel"/>
    <w:tmpl w:val="93000E1E"/>
    <w:lvl w:ilvl="0">
      <w:start w:val="1"/>
      <w:numFmt w:val="bullet"/>
      <w:lvlText w:val=""/>
      <w:lvlJc w:val="left"/>
      <w:pPr>
        <w:ind w:left="720" w:hanging="360"/>
      </w:pPr>
      <w:rPr>
        <w:rFonts w:ascii="Symbol" w:hAnsi="Symbol" w:hint="default"/>
      </w:rPr>
    </w:lvl>
    <w:lvl w:ilvl="1">
      <w:start w:val="1"/>
      <w:numFmt w:val="decimal"/>
      <w:isLgl/>
      <w:lvlText w:val="%1.%2"/>
      <w:lvlJc w:val="left"/>
      <w:pPr>
        <w:ind w:left="900" w:hanging="540"/>
      </w:pPr>
      <w:rPr>
        <w:rFonts w:hint="default"/>
        <w:b w:val="0"/>
        <w:color w:val="1F3763" w:themeColor="accent1" w:themeShade="7F"/>
      </w:rPr>
    </w:lvl>
    <w:lvl w:ilvl="2">
      <w:start w:val="2"/>
      <w:numFmt w:val="decimal"/>
      <w:isLgl/>
      <w:lvlText w:val="%1.%2.%3"/>
      <w:lvlJc w:val="left"/>
      <w:pPr>
        <w:ind w:left="1080" w:hanging="720"/>
      </w:pPr>
      <w:rPr>
        <w:rFonts w:hint="default"/>
        <w:b w:val="0"/>
        <w:color w:val="1F3763" w:themeColor="accent1" w:themeShade="7F"/>
      </w:rPr>
    </w:lvl>
    <w:lvl w:ilvl="3">
      <w:start w:val="1"/>
      <w:numFmt w:val="decimal"/>
      <w:isLgl/>
      <w:lvlText w:val="%1.%2.%3.%4"/>
      <w:lvlJc w:val="left"/>
      <w:pPr>
        <w:ind w:left="1080" w:hanging="720"/>
      </w:pPr>
      <w:rPr>
        <w:rFonts w:hint="default"/>
        <w:b w:val="0"/>
        <w:color w:val="1F3763" w:themeColor="accent1" w:themeShade="7F"/>
      </w:rPr>
    </w:lvl>
    <w:lvl w:ilvl="4">
      <w:start w:val="1"/>
      <w:numFmt w:val="decimal"/>
      <w:isLgl/>
      <w:lvlText w:val="%1.%2.%3.%4.%5"/>
      <w:lvlJc w:val="left"/>
      <w:pPr>
        <w:ind w:left="1440" w:hanging="1080"/>
      </w:pPr>
      <w:rPr>
        <w:rFonts w:hint="default"/>
        <w:b w:val="0"/>
        <w:color w:val="1F3763" w:themeColor="accent1" w:themeShade="7F"/>
      </w:rPr>
    </w:lvl>
    <w:lvl w:ilvl="5">
      <w:start w:val="1"/>
      <w:numFmt w:val="decimal"/>
      <w:isLgl/>
      <w:lvlText w:val="%1.%2.%3.%4.%5.%6"/>
      <w:lvlJc w:val="left"/>
      <w:pPr>
        <w:ind w:left="1440" w:hanging="1080"/>
      </w:pPr>
      <w:rPr>
        <w:rFonts w:hint="default"/>
        <w:b w:val="0"/>
        <w:color w:val="1F3763" w:themeColor="accent1" w:themeShade="7F"/>
      </w:rPr>
    </w:lvl>
    <w:lvl w:ilvl="6">
      <w:start w:val="1"/>
      <w:numFmt w:val="decimal"/>
      <w:isLgl/>
      <w:lvlText w:val="%1.%2.%3.%4.%5.%6.%7"/>
      <w:lvlJc w:val="left"/>
      <w:pPr>
        <w:ind w:left="1800" w:hanging="1440"/>
      </w:pPr>
      <w:rPr>
        <w:rFonts w:hint="default"/>
        <w:b w:val="0"/>
        <w:color w:val="1F3763" w:themeColor="accent1" w:themeShade="7F"/>
      </w:rPr>
    </w:lvl>
    <w:lvl w:ilvl="7">
      <w:start w:val="1"/>
      <w:numFmt w:val="decimal"/>
      <w:isLgl/>
      <w:lvlText w:val="%1.%2.%3.%4.%5.%6.%7.%8"/>
      <w:lvlJc w:val="left"/>
      <w:pPr>
        <w:ind w:left="1800" w:hanging="1440"/>
      </w:pPr>
      <w:rPr>
        <w:rFonts w:hint="default"/>
        <w:b w:val="0"/>
        <w:color w:val="1F3763" w:themeColor="accent1" w:themeShade="7F"/>
      </w:rPr>
    </w:lvl>
    <w:lvl w:ilvl="8">
      <w:start w:val="1"/>
      <w:numFmt w:val="decimal"/>
      <w:isLgl/>
      <w:lvlText w:val="%1.%2.%3.%4.%5.%6.%7.%8.%9"/>
      <w:lvlJc w:val="left"/>
      <w:pPr>
        <w:ind w:left="1800" w:hanging="1440"/>
      </w:pPr>
      <w:rPr>
        <w:rFonts w:hint="default"/>
        <w:b w:val="0"/>
        <w:color w:val="1F3763" w:themeColor="accent1" w:themeShade="7F"/>
      </w:rPr>
    </w:lvl>
  </w:abstractNum>
  <w:abstractNum w:abstractNumId="35" w15:restartNumberingAfterBreak="0">
    <w:nsid w:val="69C90318"/>
    <w:multiLevelType w:val="multilevel"/>
    <w:tmpl w:val="93000E1E"/>
    <w:lvl w:ilvl="0">
      <w:start w:val="1"/>
      <w:numFmt w:val="bullet"/>
      <w:lvlText w:val=""/>
      <w:lvlJc w:val="left"/>
      <w:pPr>
        <w:ind w:left="720" w:hanging="360"/>
      </w:pPr>
      <w:rPr>
        <w:rFonts w:ascii="Symbol" w:hAnsi="Symbol" w:hint="default"/>
      </w:rPr>
    </w:lvl>
    <w:lvl w:ilvl="1">
      <w:start w:val="1"/>
      <w:numFmt w:val="decimal"/>
      <w:isLgl/>
      <w:lvlText w:val="%1.%2"/>
      <w:lvlJc w:val="left"/>
      <w:pPr>
        <w:ind w:left="900" w:hanging="540"/>
      </w:pPr>
      <w:rPr>
        <w:b w:val="0"/>
        <w:color w:val="1F3763" w:themeColor="accent1" w:themeShade="7F"/>
      </w:rPr>
    </w:lvl>
    <w:lvl w:ilvl="2">
      <w:start w:val="2"/>
      <w:numFmt w:val="decimal"/>
      <w:isLgl/>
      <w:lvlText w:val="%1.%2.%3"/>
      <w:lvlJc w:val="left"/>
      <w:pPr>
        <w:ind w:left="1080" w:hanging="720"/>
      </w:pPr>
      <w:rPr>
        <w:b w:val="0"/>
        <w:color w:val="1F3763" w:themeColor="accent1" w:themeShade="7F"/>
      </w:rPr>
    </w:lvl>
    <w:lvl w:ilvl="3">
      <w:start w:val="1"/>
      <w:numFmt w:val="decimal"/>
      <w:isLgl/>
      <w:lvlText w:val="%1.%2.%3.%4"/>
      <w:lvlJc w:val="left"/>
      <w:pPr>
        <w:ind w:left="1080" w:hanging="720"/>
      </w:pPr>
      <w:rPr>
        <w:b w:val="0"/>
        <w:color w:val="1F3763" w:themeColor="accent1" w:themeShade="7F"/>
      </w:rPr>
    </w:lvl>
    <w:lvl w:ilvl="4">
      <w:start w:val="1"/>
      <w:numFmt w:val="decimal"/>
      <w:isLgl/>
      <w:lvlText w:val="%1.%2.%3.%4.%5"/>
      <w:lvlJc w:val="left"/>
      <w:pPr>
        <w:ind w:left="1440" w:hanging="1080"/>
      </w:pPr>
      <w:rPr>
        <w:b w:val="0"/>
        <w:color w:val="1F3763" w:themeColor="accent1" w:themeShade="7F"/>
      </w:rPr>
    </w:lvl>
    <w:lvl w:ilvl="5">
      <w:start w:val="1"/>
      <w:numFmt w:val="decimal"/>
      <w:isLgl/>
      <w:lvlText w:val="%1.%2.%3.%4.%5.%6"/>
      <w:lvlJc w:val="left"/>
      <w:pPr>
        <w:ind w:left="1440" w:hanging="1080"/>
      </w:pPr>
      <w:rPr>
        <w:b w:val="0"/>
        <w:color w:val="1F3763" w:themeColor="accent1" w:themeShade="7F"/>
      </w:rPr>
    </w:lvl>
    <w:lvl w:ilvl="6">
      <w:start w:val="1"/>
      <w:numFmt w:val="decimal"/>
      <w:isLgl/>
      <w:lvlText w:val="%1.%2.%3.%4.%5.%6.%7"/>
      <w:lvlJc w:val="left"/>
      <w:pPr>
        <w:ind w:left="1800" w:hanging="1440"/>
      </w:pPr>
      <w:rPr>
        <w:b w:val="0"/>
        <w:color w:val="1F3763" w:themeColor="accent1" w:themeShade="7F"/>
      </w:rPr>
    </w:lvl>
    <w:lvl w:ilvl="7">
      <w:start w:val="1"/>
      <w:numFmt w:val="decimal"/>
      <w:isLgl/>
      <w:lvlText w:val="%1.%2.%3.%4.%5.%6.%7.%8"/>
      <w:lvlJc w:val="left"/>
      <w:pPr>
        <w:ind w:left="1800" w:hanging="1440"/>
      </w:pPr>
      <w:rPr>
        <w:b w:val="0"/>
        <w:color w:val="1F3763" w:themeColor="accent1" w:themeShade="7F"/>
      </w:rPr>
    </w:lvl>
    <w:lvl w:ilvl="8">
      <w:start w:val="1"/>
      <w:numFmt w:val="decimal"/>
      <w:isLgl/>
      <w:lvlText w:val="%1.%2.%3.%4.%5.%6.%7.%8.%9"/>
      <w:lvlJc w:val="left"/>
      <w:pPr>
        <w:ind w:left="1800" w:hanging="1440"/>
      </w:pPr>
      <w:rPr>
        <w:b w:val="0"/>
        <w:color w:val="1F3763" w:themeColor="accent1" w:themeShade="7F"/>
      </w:rPr>
    </w:lvl>
  </w:abstractNum>
  <w:abstractNum w:abstractNumId="36" w15:restartNumberingAfterBreak="0">
    <w:nsid w:val="6A994995"/>
    <w:multiLevelType w:val="multilevel"/>
    <w:tmpl w:val="93000E1E"/>
    <w:lvl w:ilvl="0">
      <w:start w:val="1"/>
      <w:numFmt w:val="bullet"/>
      <w:lvlText w:val=""/>
      <w:lvlJc w:val="left"/>
      <w:pPr>
        <w:ind w:left="720" w:hanging="360"/>
      </w:pPr>
      <w:rPr>
        <w:rFonts w:ascii="Symbol" w:hAnsi="Symbol" w:hint="default"/>
      </w:rPr>
    </w:lvl>
    <w:lvl w:ilvl="1">
      <w:start w:val="1"/>
      <w:numFmt w:val="decimal"/>
      <w:isLgl/>
      <w:lvlText w:val="%1.%2"/>
      <w:lvlJc w:val="left"/>
      <w:pPr>
        <w:ind w:left="900" w:hanging="540"/>
      </w:pPr>
      <w:rPr>
        <w:b w:val="0"/>
        <w:color w:val="1F3763" w:themeColor="accent1" w:themeShade="7F"/>
      </w:rPr>
    </w:lvl>
    <w:lvl w:ilvl="2">
      <w:start w:val="2"/>
      <w:numFmt w:val="decimal"/>
      <w:isLgl/>
      <w:lvlText w:val="%1.%2.%3"/>
      <w:lvlJc w:val="left"/>
      <w:pPr>
        <w:ind w:left="1080" w:hanging="720"/>
      </w:pPr>
      <w:rPr>
        <w:b w:val="0"/>
        <w:color w:val="1F3763" w:themeColor="accent1" w:themeShade="7F"/>
      </w:rPr>
    </w:lvl>
    <w:lvl w:ilvl="3">
      <w:start w:val="1"/>
      <w:numFmt w:val="decimal"/>
      <w:isLgl/>
      <w:lvlText w:val="%1.%2.%3.%4"/>
      <w:lvlJc w:val="left"/>
      <w:pPr>
        <w:ind w:left="1080" w:hanging="720"/>
      </w:pPr>
      <w:rPr>
        <w:b w:val="0"/>
        <w:color w:val="1F3763" w:themeColor="accent1" w:themeShade="7F"/>
      </w:rPr>
    </w:lvl>
    <w:lvl w:ilvl="4">
      <w:start w:val="1"/>
      <w:numFmt w:val="decimal"/>
      <w:isLgl/>
      <w:lvlText w:val="%1.%2.%3.%4.%5"/>
      <w:lvlJc w:val="left"/>
      <w:pPr>
        <w:ind w:left="1440" w:hanging="1080"/>
      </w:pPr>
      <w:rPr>
        <w:b w:val="0"/>
        <w:color w:val="1F3763" w:themeColor="accent1" w:themeShade="7F"/>
      </w:rPr>
    </w:lvl>
    <w:lvl w:ilvl="5">
      <w:start w:val="1"/>
      <w:numFmt w:val="decimal"/>
      <w:isLgl/>
      <w:lvlText w:val="%1.%2.%3.%4.%5.%6"/>
      <w:lvlJc w:val="left"/>
      <w:pPr>
        <w:ind w:left="1440" w:hanging="1080"/>
      </w:pPr>
      <w:rPr>
        <w:b w:val="0"/>
        <w:color w:val="1F3763" w:themeColor="accent1" w:themeShade="7F"/>
      </w:rPr>
    </w:lvl>
    <w:lvl w:ilvl="6">
      <w:start w:val="1"/>
      <w:numFmt w:val="decimal"/>
      <w:isLgl/>
      <w:lvlText w:val="%1.%2.%3.%4.%5.%6.%7"/>
      <w:lvlJc w:val="left"/>
      <w:pPr>
        <w:ind w:left="1800" w:hanging="1440"/>
      </w:pPr>
      <w:rPr>
        <w:b w:val="0"/>
        <w:color w:val="1F3763" w:themeColor="accent1" w:themeShade="7F"/>
      </w:rPr>
    </w:lvl>
    <w:lvl w:ilvl="7">
      <w:start w:val="1"/>
      <w:numFmt w:val="decimal"/>
      <w:isLgl/>
      <w:lvlText w:val="%1.%2.%3.%4.%5.%6.%7.%8"/>
      <w:lvlJc w:val="left"/>
      <w:pPr>
        <w:ind w:left="1800" w:hanging="1440"/>
      </w:pPr>
      <w:rPr>
        <w:b w:val="0"/>
        <w:color w:val="1F3763" w:themeColor="accent1" w:themeShade="7F"/>
      </w:rPr>
    </w:lvl>
    <w:lvl w:ilvl="8">
      <w:start w:val="1"/>
      <w:numFmt w:val="decimal"/>
      <w:isLgl/>
      <w:lvlText w:val="%1.%2.%3.%4.%5.%6.%7.%8.%9"/>
      <w:lvlJc w:val="left"/>
      <w:pPr>
        <w:ind w:left="1800" w:hanging="1440"/>
      </w:pPr>
      <w:rPr>
        <w:b w:val="0"/>
        <w:color w:val="1F3763" w:themeColor="accent1" w:themeShade="7F"/>
      </w:rPr>
    </w:lvl>
  </w:abstractNum>
  <w:abstractNum w:abstractNumId="37" w15:restartNumberingAfterBreak="0">
    <w:nsid w:val="6ADF2E5A"/>
    <w:multiLevelType w:val="multilevel"/>
    <w:tmpl w:val="93000E1E"/>
    <w:lvl w:ilvl="0">
      <w:start w:val="1"/>
      <w:numFmt w:val="bullet"/>
      <w:lvlText w:val=""/>
      <w:lvlJc w:val="left"/>
      <w:pPr>
        <w:ind w:left="720" w:hanging="360"/>
      </w:pPr>
      <w:rPr>
        <w:rFonts w:ascii="Symbol" w:hAnsi="Symbol" w:hint="default"/>
      </w:rPr>
    </w:lvl>
    <w:lvl w:ilvl="1">
      <w:start w:val="1"/>
      <w:numFmt w:val="decimal"/>
      <w:isLgl/>
      <w:lvlText w:val="%1.%2"/>
      <w:lvlJc w:val="left"/>
      <w:pPr>
        <w:ind w:left="900" w:hanging="540"/>
      </w:pPr>
      <w:rPr>
        <w:rFonts w:hint="default"/>
        <w:b w:val="0"/>
        <w:color w:val="1F3763" w:themeColor="accent1" w:themeShade="7F"/>
      </w:rPr>
    </w:lvl>
    <w:lvl w:ilvl="2">
      <w:start w:val="2"/>
      <w:numFmt w:val="decimal"/>
      <w:isLgl/>
      <w:lvlText w:val="%1.%2.%3"/>
      <w:lvlJc w:val="left"/>
      <w:pPr>
        <w:ind w:left="1080" w:hanging="720"/>
      </w:pPr>
      <w:rPr>
        <w:rFonts w:hint="default"/>
        <w:b w:val="0"/>
        <w:color w:val="1F3763" w:themeColor="accent1" w:themeShade="7F"/>
      </w:rPr>
    </w:lvl>
    <w:lvl w:ilvl="3">
      <w:start w:val="1"/>
      <w:numFmt w:val="decimal"/>
      <w:isLgl/>
      <w:lvlText w:val="%1.%2.%3.%4"/>
      <w:lvlJc w:val="left"/>
      <w:pPr>
        <w:ind w:left="1080" w:hanging="720"/>
      </w:pPr>
      <w:rPr>
        <w:rFonts w:hint="default"/>
        <w:b w:val="0"/>
        <w:color w:val="1F3763" w:themeColor="accent1" w:themeShade="7F"/>
      </w:rPr>
    </w:lvl>
    <w:lvl w:ilvl="4">
      <w:start w:val="1"/>
      <w:numFmt w:val="decimal"/>
      <w:isLgl/>
      <w:lvlText w:val="%1.%2.%3.%4.%5"/>
      <w:lvlJc w:val="left"/>
      <w:pPr>
        <w:ind w:left="1440" w:hanging="1080"/>
      </w:pPr>
      <w:rPr>
        <w:rFonts w:hint="default"/>
        <w:b w:val="0"/>
        <w:color w:val="1F3763" w:themeColor="accent1" w:themeShade="7F"/>
      </w:rPr>
    </w:lvl>
    <w:lvl w:ilvl="5">
      <w:start w:val="1"/>
      <w:numFmt w:val="decimal"/>
      <w:isLgl/>
      <w:lvlText w:val="%1.%2.%3.%4.%5.%6"/>
      <w:lvlJc w:val="left"/>
      <w:pPr>
        <w:ind w:left="1440" w:hanging="1080"/>
      </w:pPr>
      <w:rPr>
        <w:rFonts w:hint="default"/>
        <w:b w:val="0"/>
        <w:color w:val="1F3763" w:themeColor="accent1" w:themeShade="7F"/>
      </w:rPr>
    </w:lvl>
    <w:lvl w:ilvl="6">
      <w:start w:val="1"/>
      <w:numFmt w:val="decimal"/>
      <w:isLgl/>
      <w:lvlText w:val="%1.%2.%3.%4.%5.%6.%7"/>
      <w:lvlJc w:val="left"/>
      <w:pPr>
        <w:ind w:left="1800" w:hanging="1440"/>
      </w:pPr>
      <w:rPr>
        <w:rFonts w:hint="default"/>
        <w:b w:val="0"/>
        <w:color w:val="1F3763" w:themeColor="accent1" w:themeShade="7F"/>
      </w:rPr>
    </w:lvl>
    <w:lvl w:ilvl="7">
      <w:start w:val="1"/>
      <w:numFmt w:val="decimal"/>
      <w:isLgl/>
      <w:lvlText w:val="%1.%2.%3.%4.%5.%6.%7.%8"/>
      <w:lvlJc w:val="left"/>
      <w:pPr>
        <w:ind w:left="1800" w:hanging="1440"/>
      </w:pPr>
      <w:rPr>
        <w:rFonts w:hint="default"/>
        <w:b w:val="0"/>
        <w:color w:val="1F3763" w:themeColor="accent1" w:themeShade="7F"/>
      </w:rPr>
    </w:lvl>
    <w:lvl w:ilvl="8">
      <w:start w:val="1"/>
      <w:numFmt w:val="decimal"/>
      <w:isLgl/>
      <w:lvlText w:val="%1.%2.%3.%4.%5.%6.%7.%8.%9"/>
      <w:lvlJc w:val="left"/>
      <w:pPr>
        <w:ind w:left="1800" w:hanging="1440"/>
      </w:pPr>
      <w:rPr>
        <w:rFonts w:hint="default"/>
        <w:b w:val="0"/>
        <w:color w:val="1F3763" w:themeColor="accent1" w:themeShade="7F"/>
      </w:rPr>
    </w:lvl>
  </w:abstractNum>
  <w:abstractNum w:abstractNumId="38" w15:restartNumberingAfterBreak="0">
    <w:nsid w:val="6B530E39"/>
    <w:multiLevelType w:val="hybridMultilevel"/>
    <w:tmpl w:val="891C8A4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9" w15:restartNumberingAfterBreak="0">
    <w:nsid w:val="706B0F74"/>
    <w:multiLevelType w:val="multilevel"/>
    <w:tmpl w:val="F3A0E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26B547C"/>
    <w:multiLevelType w:val="hybridMultilevel"/>
    <w:tmpl w:val="AD7C2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A03430"/>
    <w:multiLevelType w:val="multilevel"/>
    <w:tmpl w:val="93000E1E"/>
    <w:lvl w:ilvl="0">
      <w:start w:val="1"/>
      <w:numFmt w:val="bullet"/>
      <w:lvlText w:val=""/>
      <w:lvlJc w:val="left"/>
      <w:pPr>
        <w:ind w:left="720" w:hanging="360"/>
      </w:pPr>
      <w:rPr>
        <w:rFonts w:ascii="Symbol" w:hAnsi="Symbol" w:hint="default"/>
      </w:rPr>
    </w:lvl>
    <w:lvl w:ilvl="1">
      <w:start w:val="1"/>
      <w:numFmt w:val="decimal"/>
      <w:isLgl/>
      <w:lvlText w:val="%1.%2"/>
      <w:lvlJc w:val="left"/>
      <w:pPr>
        <w:ind w:left="900" w:hanging="540"/>
      </w:pPr>
      <w:rPr>
        <w:rFonts w:hint="default"/>
        <w:b w:val="0"/>
        <w:color w:val="1F3763" w:themeColor="accent1" w:themeShade="7F"/>
      </w:rPr>
    </w:lvl>
    <w:lvl w:ilvl="2">
      <w:start w:val="2"/>
      <w:numFmt w:val="decimal"/>
      <w:isLgl/>
      <w:lvlText w:val="%1.%2.%3"/>
      <w:lvlJc w:val="left"/>
      <w:pPr>
        <w:ind w:left="1080" w:hanging="720"/>
      </w:pPr>
      <w:rPr>
        <w:rFonts w:hint="default"/>
        <w:b w:val="0"/>
        <w:color w:val="1F3763" w:themeColor="accent1" w:themeShade="7F"/>
      </w:rPr>
    </w:lvl>
    <w:lvl w:ilvl="3">
      <w:start w:val="1"/>
      <w:numFmt w:val="decimal"/>
      <w:isLgl/>
      <w:lvlText w:val="%1.%2.%3.%4"/>
      <w:lvlJc w:val="left"/>
      <w:pPr>
        <w:ind w:left="1080" w:hanging="720"/>
      </w:pPr>
      <w:rPr>
        <w:rFonts w:hint="default"/>
        <w:b w:val="0"/>
        <w:color w:val="1F3763" w:themeColor="accent1" w:themeShade="7F"/>
      </w:rPr>
    </w:lvl>
    <w:lvl w:ilvl="4">
      <w:start w:val="1"/>
      <w:numFmt w:val="decimal"/>
      <w:isLgl/>
      <w:lvlText w:val="%1.%2.%3.%4.%5"/>
      <w:lvlJc w:val="left"/>
      <w:pPr>
        <w:ind w:left="1440" w:hanging="1080"/>
      </w:pPr>
      <w:rPr>
        <w:rFonts w:hint="default"/>
        <w:b w:val="0"/>
        <w:color w:val="1F3763" w:themeColor="accent1" w:themeShade="7F"/>
      </w:rPr>
    </w:lvl>
    <w:lvl w:ilvl="5">
      <w:start w:val="1"/>
      <w:numFmt w:val="decimal"/>
      <w:isLgl/>
      <w:lvlText w:val="%1.%2.%3.%4.%5.%6"/>
      <w:lvlJc w:val="left"/>
      <w:pPr>
        <w:ind w:left="1440" w:hanging="1080"/>
      </w:pPr>
      <w:rPr>
        <w:rFonts w:hint="default"/>
        <w:b w:val="0"/>
        <w:color w:val="1F3763" w:themeColor="accent1" w:themeShade="7F"/>
      </w:rPr>
    </w:lvl>
    <w:lvl w:ilvl="6">
      <w:start w:val="1"/>
      <w:numFmt w:val="decimal"/>
      <w:isLgl/>
      <w:lvlText w:val="%1.%2.%3.%4.%5.%6.%7"/>
      <w:lvlJc w:val="left"/>
      <w:pPr>
        <w:ind w:left="1800" w:hanging="1440"/>
      </w:pPr>
      <w:rPr>
        <w:rFonts w:hint="default"/>
        <w:b w:val="0"/>
        <w:color w:val="1F3763" w:themeColor="accent1" w:themeShade="7F"/>
      </w:rPr>
    </w:lvl>
    <w:lvl w:ilvl="7">
      <w:start w:val="1"/>
      <w:numFmt w:val="decimal"/>
      <w:isLgl/>
      <w:lvlText w:val="%1.%2.%3.%4.%5.%6.%7.%8"/>
      <w:lvlJc w:val="left"/>
      <w:pPr>
        <w:ind w:left="1800" w:hanging="1440"/>
      </w:pPr>
      <w:rPr>
        <w:rFonts w:hint="default"/>
        <w:b w:val="0"/>
        <w:color w:val="1F3763" w:themeColor="accent1" w:themeShade="7F"/>
      </w:rPr>
    </w:lvl>
    <w:lvl w:ilvl="8">
      <w:start w:val="1"/>
      <w:numFmt w:val="decimal"/>
      <w:isLgl/>
      <w:lvlText w:val="%1.%2.%3.%4.%5.%6.%7.%8.%9"/>
      <w:lvlJc w:val="left"/>
      <w:pPr>
        <w:ind w:left="1800" w:hanging="1440"/>
      </w:pPr>
      <w:rPr>
        <w:rFonts w:hint="default"/>
        <w:b w:val="0"/>
        <w:color w:val="1F3763" w:themeColor="accent1" w:themeShade="7F"/>
      </w:rPr>
    </w:lvl>
  </w:abstractNum>
  <w:abstractNum w:abstractNumId="42" w15:restartNumberingAfterBreak="0">
    <w:nsid w:val="763C363F"/>
    <w:multiLevelType w:val="hybridMultilevel"/>
    <w:tmpl w:val="7AFCA50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AC93594"/>
    <w:multiLevelType w:val="multilevel"/>
    <w:tmpl w:val="93000E1E"/>
    <w:lvl w:ilvl="0">
      <w:start w:val="1"/>
      <w:numFmt w:val="bullet"/>
      <w:lvlText w:val=""/>
      <w:lvlJc w:val="left"/>
      <w:pPr>
        <w:ind w:left="720" w:hanging="360"/>
      </w:pPr>
      <w:rPr>
        <w:rFonts w:ascii="Symbol" w:hAnsi="Symbol" w:hint="default"/>
      </w:rPr>
    </w:lvl>
    <w:lvl w:ilvl="1">
      <w:start w:val="1"/>
      <w:numFmt w:val="decimal"/>
      <w:isLgl/>
      <w:lvlText w:val="%1.%2"/>
      <w:lvlJc w:val="left"/>
      <w:pPr>
        <w:ind w:left="900" w:hanging="540"/>
      </w:pPr>
      <w:rPr>
        <w:rFonts w:hint="default"/>
        <w:b w:val="0"/>
        <w:color w:val="1F3763" w:themeColor="accent1" w:themeShade="7F"/>
      </w:rPr>
    </w:lvl>
    <w:lvl w:ilvl="2">
      <w:start w:val="2"/>
      <w:numFmt w:val="decimal"/>
      <w:isLgl/>
      <w:lvlText w:val="%1.%2.%3"/>
      <w:lvlJc w:val="left"/>
      <w:pPr>
        <w:ind w:left="1080" w:hanging="720"/>
      </w:pPr>
      <w:rPr>
        <w:rFonts w:hint="default"/>
        <w:b w:val="0"/>
        <w:color w:val="1F3763" w:themeColor="accent1" w:themeShade="7F"/>
      </w:rPr>
    </w:lvl>
    <w:lvl w:ilvl="3">
      <w:start w:val="1"/>
      <w:numFmt w:val="decimal"/>
      <w:isLgl/>
      <w:lvlText w:val="%1.%2.%3.%4"/>
      <w:lvlJc w:val="left"/>
      <w:pPr>
        <w:ind w:left="1080" w:hanging="720"/>
      </w:pPr>
      <w:rPr>
        <w:rFonts w:hint="default"/>
        <w:b w:val="0"/>
        <w:color w:val="1F3763" w:themeColor="accent1" w:themeShade="7F"/>
      </w:rPr>
    </w:lvl>
    <w:lvl w:ilvl="4">
      <w:start w:val="1"/>
      <w:numFmt w:val="decimal"/>
      <w:isLgl/>
      <w:lvlText w:val="%1.%2.%3.%4.%5"/>
      <w:lvlJc w:val="left"/>
      <w:pPr>
        <w:ind w:left="1440" w:hanging="1080"/>
      </w:pPr>
      <w:rPr>
        <w:rFonts w:hint="default"/>
        <w:b w:val="0"/>
        <w:color w:val="1F3763" w:themeColor="accent1" w:themeShade="7F"/>
      </w:rPr>
    </w:lvl>
    <w:lvl w:ilvl="5">
      <w:start w:val="1"/>
      <w:numFmt w:val="decimal"/>
      <w:isLgl/>
      <w:lvlText w:val="%1.%2.%3.%4.%5.%6"/>
      <w:lvlJc w:val="left"/>
      <w:pPr>
        <w:ind w:left="1440" w:hanging="1080"/>
      </w:pPr>
      <w:rPr>
        <w:rFonts w:hint="default"/>
        <w:b w:val="0"/>
        <w:color w:val="1F3763" w:themeColor="accent1" w:themeShade="7F"/>
      </w:rPr>
    </w:lvl>
    <w:lvl w:ilvl="6">
      <w:start w:val="1"/>
      <w:numFmt w:val="decimal"/>
      <w:isLgl/>
      <w:lvlText w:val="%1.%2.%3.%4.%5.%6.%7"/>
      <w:lvlJc w:val="left"/>
      <w:pPr>
        <w:ind w:left="1800" w:hanging="1440"/>
      </w:pPr>
      <w:rPr>
        <w:rFonts w:hint="default"/>
        <w:b w:val="0"/>
        <w:color w:val="1F3763" w:themeColor="accent1" w:themeShade="7F"/>
      </w:rPr>
    </w:lvl>
    <w:lvl w:ilvl="7">
      <w:start w:val="1"/>
      <w:numFmt w:val="decimal"/>
      <w:isLgl/>
      <w:lvlText w:val="%1.%2.%3.%4.%5.%6.%7.%8"/>
      <w:lvlJc w:val="left"/>
      <w:pPr>
        <w:ind w:left="1800" w:hanging="1440"/>
      </w:pPr>
      <w:rPr>
        <w:rFonts w:hint="default"/>
        <w:b w:val="0"/>
        <w:color w:val="1F3763" w:themeColor="accent1" w:themeShade="7F"/>
      </w:rPr>
    </w:lvl>
    <w:lvl w:ilvl="8">
      <w:start w:val="1"/>
      <w:numFmt w:val="decimal"/>
      <w:isLgl/>
      <w:lvlText w:val="%1.%2.%3.%4.%5.%6.%7.%8.%9"/>
      <w:lvlJc w:val="left"/>
      <w:pPr>
        <w:ind w:left="1800" w:hanging="1440"/>
      </w:pPr>
      <w:rPr>
        <w:rFonts w:hint="default"/>
        <w:b w:val="0"/>
        <w:color w:val="1F3763" w:themeColor="accent1" w:themeShade="7F"/>
      </w:rPr>
    </w:lvl>
  </w:abstractNum>
  <w:abstractNum w:abstractNumId="44" w15:restartNumberingAfterBreak="0">
    <w:nsid w:val="7C1B7363"/>
    <w:multiLevelType w:val="hybridMultilevel"/>
    <w:tmpl w:val="F8988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8116959">
    <w:abstractNumId w:val="7"/>
  </w:num>
  <w:num w:numId="2" w16cid:durableId="2513982">
    <w:abstractNumId w:val="4"/>
  </w:num>
  <w:num w:numId="3" w16cid:durableId="905337341">
    <w:abstractNumId w:val="13"/>
  </w:num>
  <w:num w:numId="4" w16cid:durableId="1140883298">
    <w:abstractNumId w:val="32"/>
  </w:num>
  <w:num w:numId="5" w16cid:durableId="1463231307">
    <w:abstractNumId w:val="25"/>
  </w:num>
  <w:num w:numId="6" w16cid:durableId="2137290022">
    <w:abstractNumId w:val="33"/>
  </w:num>
  <w:num w:numId="7" w16cid:durableId="207272821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12892016">
    <w:abstractNumId w:val="38"/>
  </w:num>
  <w:num w:numId="9" w16cid:durableId="1885368007">
    <w:abstractNumId w:val="29"/>
  </w:num>
  <w:num w:numId="10" w16cid:durableId="201134825">
    <w:abstractNumId w:val="21"/>
  </w:num>
  <w:num w:numId="11" w16cid:durableId="1396780710">
    <w:abstractNumId w:val="42"/>
  </w:num>
  <w:num w:numId="12" w16cid:durableId="1782722137">
    <w:abstractNumId w:val="8"/>
  </w:num>
  <w:num w:numId="13" w16cid:durableId="1586036779">
    <w:abstractNumId w:val="37"/>
  </w:num>
  <w:num w:numId="14" w16cid:durableId="291326940">
    <w:abstractNumId w:val="34"/>
  </w:num>
  <w:num w:numId="15" w16cid:durableId="645203977">
    <w:abstractNumId w:val="16"/>
  </w:num>
  <w:num w:numId="16" w16cid:durableId="1677463635">
    <w:abstractNumId w:val="41"/>
  </w:num>
  <w:num w:numId="17" w16cid:durableId="1928033600">
    <w:abstractNumId w:val="9"/>
  </w:num>
  <w:num w:numId="18" w16cid:durableId="1070690549">
    <w:abstractNumId w:val="22"/>
  </w:num>
  <w:num w:numId="19" w16cid:durableId="1441412780">
    <w:abstractNumId w:val="24"/>
  </w:num>
  <w:num w:numId="20" w16cid:durableId="727802680">
    <w:abstractNumId w:val="1"/>
  </w:num>
  <w:num w:numId="21" w16cid:durableId="1775587013">
    <w:abstractNumId w:val="31"/>
  </w:num>
  <w:num w:numId="22" w16cid:durableId="47386940">
    <w:abstractNumId w:val="3"/>
  </w:num>
  <w:num w:numId="23" w16cid:durableId="2087649943">
    <w:abstractNumId w:val="0"/>
  </w:num>
  <w:num w:numId="24" w16cid:durableId="427119806">
    <w:abstractNumId w:val="30"/>
  </w:num>
  <w:num w:numId="25" w16cid:durableId="1175682977">
    <w:abstractNumId w:val="43"/>
  </w:num>
  <w:num w:numId="26" w16cid:durableId="1452476944">
    <w:abstractNumId w:val="23"/>
  </w:num>
  <w:num w:numId="27" w16cid:durableId="1725831855">
    <w:abstractNumId w:val="19"/>
  </w:num>
  <w:num w:numId="28" w16cid:durableId="873612785">
    <w:abstractNumId w:val="17"/>
  </w:num>
  <w:num w:numId="29" w16cid:durableId="664551973">
    <w:abstractNumId w:val="6"/>
  </w:num>
  <w:num w:numId="30" w16cid:durableId="665865104">
    <w:abstractNumId w:val="18"/>
  </w:num>
  <w:num w:numId="31" w16cid:durableId="900402688">
    <w:abstractNumId w:val="27"/>
  </w:num>
  <w:num w:numId="32" w16cid:durableId="1170025283">
    <w:abstractNumId w:val="36"/>
  </w:num>
  <w:num w:numId="33" w16cid:durableId="1451898114">
    <w:abstractNumId w:val="20"/>
  </w:num>
  <w:num w:numId="34" w16cid:durableId="186990565">
    <w:abstractNumId w:val="26"/>
  </w:num>
  <w:num w:numId="35" w16cid:durableId="7097129">
    <w:abstractNumId w:val="15"/>
  </w:num>
  <w:num w:numId="36" w16cid:durableId="653142328">
    <w:abstractNumId w:val="35"/>
  </w:num>
  <w:num w:numId="37" w16cid:durableId="111484532">
    <w:abstractNumId w:val="10"/>
  </w:num>
  <w:num w:numId="38" w16cid:durableId="803936615">
    <w:abstractNumId w:val="2"/>
  </w:num>
  <w:num w:numId="39" w16cid:durableId="1811052898">
    <w:abstractNumId w:val="40"/>
  </w:num>
  <w:num w:numId="40" w16cid:durableId="1100874287">
    <w:abstractNumId w:val="44"/>
  </w:num>
  <w:num w:numId="41" w16cid:durableId="1800032483">
    <w:abstractNumId w:val="12"/>
  </w:num>
  <w:num w:numId="42" w16cid:durableId="182794170">
    <w:abstractNumId w:val="28"/>
  </w:num>
  <w:num w:numId="43" w16cid:durableId="193350126">
    <w:abstractNumId w:val="11"/>
  </w:num>
  <w:num w:numId="44" w16cid:durableId="82846713">
    <w:abstractNumId w:val="39"/>
  </w:num>
  <w:num w:numId="45" w16cid:durableId="1901821747">
    <w:abstractNumId w:val="1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jAzNTI0NTM0MTW2MDJV0lEKTi0uzszPAykwrAUAhhuuQCwAAAA="/>
  </w:docVars>
  <w:rsids>
    <w:rsidRoot w:val="005A182D"/>
    <w:rsid w:val="00000029"/>
    <w:rsid w:val="000000C5"/>
    <w:rsid w:val="0000035D"/>
    <w:rsid w:val="00000530"/>
    <w:rsid w:val="00000770"/>
    <w:rsid w:val="00001137"/>
    <w:rsid w:val="000011B9"/>
    <w:rsid w:val="000011DB"/>
    <w:rsid w:val="000011E7"/>
    <w:rsid w:val="00001346"/>
    <w:rsid w:val="00001899"/>
    <w:rsid w:val="00001A32"/>
    <w:rsid w:val="00001A8B"/>
    <w:rsid w:val="00001D28"/>
    <w:rsid w:val="00001EA7"/>
    <w:rsid w:val="00002059"/>
    <w:rsid w:val="0000209A"/>
    <w:rsid w:val="0000215F"/>
    <w:rsid w:val="00002352"/>
    <w:rsid w:val="00002431"/>
    <w:rsid w:val="0000271F"/>
    <w:rsid w:val="000030AA"/>
    <w:rsid w:val="0000331F"/>
    <w:rsid w:val="00003365"/>
    <w:rsid w:val="000033B5"/>
    <w:rsid w:val="000034EE"/>
    <w:rsid w:val="00003830"/>
    <w:rsid w:val="00003965"/>
    <w:rsid w:val="00003A96"/>
    <w:rsid w:val="00003DBF"/>
    <w:rsid w:val="00003FD2"/>
    <w:rsid w:val="00004333"/>
    <w:rsid w:val="0000443A"/>
    <w:rsid w:val="000045A8"/>
    <w:rsid w:val="000045E4"/>
    <w:rsid w:val="00004633"/>
    <w:rsid w:val="000047EB"/>
    <w:rsid w:val="00004977"/>
    <w:rsid w:val="00004BFA"/>
    <w:rsid w:val="00004D90"/>
    <w:rsid w:val="00004F98"/>
    <w:rsid w:val="00005413"/>
    <w:rsid w:val="0000559C"/>
    <w:rsid w:val="000057FD"/>
    <w:rsid w:val="0000588D"/>
    <w:rsid w:val="000058BA"/>
    <w:rsid w:val="00005BC3"/>
    <w:rsid w:val="00005C70"/>
    <w:rsid w:val="00005FFE"/>
    <w:rsid w:val="000063D4"/>
    <w:rsid w:val="00006589"/>
    <w:rsid w:val="0000676B"/>
    <w:rsid w:val="00006A6D"/>
    <w:rsid w:val="00006BB2"/>
    <w:rsid w:val="00006BCB"/>
    <w:rsid w:val="00006DB6"/>
    <w:rsid w:val="00007082"/>
    <w:rsid w:val="0000725E"/>
    <w:rsid w:val="00007669"/>
    <w:rsid w:val="00007721"/>
    <w:rsid w:val="00007771"/>
    <w:rsid w:val="0000777E"/>
    <w:rsid w:val="000077ED"/>
    <w:rsid w:val="00007E39"/>
    <w:rsid w:val="00007E41"/>
    <w:rsid w:val="00010017"/>
    <w:rsid w:val="000102D1"/>
    <w:rsid w:val="000104F8"/>
    <w:rsid w:val="0001072C"/>
    <w:rsid w:val="0001084A"/>
    <w:rsid w:val="00010CEA"/>
    <w:rsid w:val="00010EDE"/>
    <w:rsid w:val="00010F81"/>
    <w:rsid w:val="000110E6"/>
    <w:rsid w:val="00011205"/>
    <w:rsid w:val="00011718"/>
    <w:rsid w:val="00011775"/>
    <w:rsid w:val="00011963"/>
    <w:rsid w:val="00011B37"/>
    <w:rsid w:val="00011B41"/>
    <w:rsid w:val="00011B88"/>
    <w:rsid w:val="00011DE0"/>
    <w:rsid w:val="00011E36"/>
    <w:rsid w:val="00011EF1"/>
    <w:rsid w:val="0001217F"/>
    <w:rsid w:val="000121CE"/>
    <w:rsid w:val="0001286A"/>
    <w:rsid w:val="00012977"/>
    <w:rsid w:val="00012C9F"/>
    <w:rsid w:val="00012E43"/>
    <w:rsid w:val="00012FBC"/>
    <w:rsid w:val="00012FFF"/>
    <w:rsid w:val="0001303F"/>
    <w:rsid w:val="000131A3"/>
    <w:rsid w:val="00013277"/>
    <w:rsid w:val="00013299"/>
    <w:rsid w:val="0001340A"/>
    <w:rsid w:val="00013519"/>
    <w:rsid w:val="000136AD"/>
    <w:rsid w:val="00014348"/>
    <w:rsid w:val="000144B8"/>
    <w:rsid w:val="00014C98"/>
    <w:rsid w:val="00014F71"/>
    <w:rsid w:val="00015249"/>
    <w:rsid w:val="0001540F"/>
    <w:rsid w:val="000155FF"/>
    <w:rsid w:val="0001561A"/>
    <w:rsid w:val="0001565F"/>
    <w:rsid w:val="00015767"/>
    <w:rsid w:val="000158D9"/>
    <w:rsid w:val="000158E6"/>
    <w:rsid w:val="00015912"/>
    <w:rsid w:val="00015920"/>
    <w:rsid w:val="0001599F"/>
    <w:rsid w:val="00015A77"/>
    <w:rsid w:val="00015AF6"/>
    <w:rsid w:val="00015BEB"/>
    <w:rsid w:val="00015C7D"/>
    <w:rsid w:val="00015D09"/>
    <w:rsid w:val="00015F2A"/>
    <w:rsid w:val="000162EB"/>
    <w:rsid w:val="0001631F"/>
    <w:rsid w:val="0001683A"/>
    <w:rsid w:val="0001699E"/>
    <w:rsid w:val="00016F6F"/>
    <w:rsid w:val="000173A7"/>
    <w:rsid w:val="0001747F"/>
    <w:rsid w:val="0001771A"/>
    <w:rsid w:val="00017968"/>
    <w:rsid w:val="00017B7C"/>
    <w:rsid w:val="0002006E"/>
    <w:rsid w:val="000203A5"/>
    <w:rsid w:val="0002056B"/>
    <w:rsid w:val="00020685"/>
    <w:rsid w:val="000207A1"/>
    <w:rsid w:val="000208BC"/>
    <w:rsid w:val="00020C11"/>
    <w:rsid w:val="00021241"/>
    <w:rsid w:val="00021518"/>
    <w:rsid w:val="0002187A"/>
    <w:rsid w:val="000219E1"/>
    <w:rsid w:val="00021A1D"/>
    <w:rsid w:val="00021EC6"/>
    <w:rsid w:val="00022026"/>
    <w:rsid w:val="0002214F"/>
    <w:rsid w:val="00022185"/>
    <w:rsid w:val="0002264F"/>
    <w:rsid w:val="000226F1"/>
    <w:rsid w:val="000229F9"/>
    <w:rsid w:val="00022A21"/>
    <w:rsid w:val="00022CA9"/>
    <w:rsid w:val="00022F2F"/>
    <w:rsid w:val="000231C1"/>
    <w:rsid w:val="00023634"/>
    <w:rsid w:val="0002367B"/>
    <w:rsid w:val="0002372B"/>
    <w:rsid w:val="0002384B"/>
    <w:rsid w:val="000239F1"/>
    <w:rsid w:val="00023A7C"/>
    <w:rsid w:val="00023BC1"/>
    <w:rsid w:val="00023C22"/>
    <w:rsid w:val="00023C6D"/>
    <w:rsid w:val="00023CF0"/>
    <w:rsid w:val="00023D4A"/>
    <w:rsid w:val="0002422F"/>
    <w:rsid w:val="000242FD"/>
    <w:rsid w:val="0002437F"/>
    <w:rsid w:val="000245B5"/>
    <w:rsid w:val="000246BE"/>
    <w:rsid w:val="000246EE"/>
    <w:rsid w:val="00024AFF"/>
    <w:rsid w:val="0002515A"/>
    <w:rsid w:val="000252D8"/>
    <w:rsid w:val="0002535F"/>
    <w:rsid w:val="000257D5"/>
    <w:rsid w:val="0002596D"/>
    <w:rsid w:val="00025CD5"/>
    <w:rsid w:val="00025EAF"/>
    <w:rsid w:val="000263EC"/>
    <w:rsid w:val="0002676F"/>
    <w:rsid w:val="0002699F"/>
    <w:rsid w:val="000269A4"/>
    <w:rsid w:val="00027406"/>
    <w:rsid w:val="00027983"/>
    <w:rsid w:val="00027A9D"/>
    <w:rsid w:val="00027B52"/>
    <w:rsid w:val="00027C74"/>
    <w:rsid w:val="00027E70"/>
    <w:rsid w:val="000300A0"/>
    <w:rsid w:val="00030201"/>
    <w:rsid w:val="00030248"/>
    <w:rsid w:val="000305BF"/>
    <w:rsid w:val="00030AB8"/>
    <w:rsid w:val="00030DB4"/>
    <w:rsid w:val="00030DB6"/>
    <w:rsid w:val="00030DE1"/>
    <w:rsid w:val="00030E5F"/>
    <w:rsid w:val="0003107D"/>
    <w:rsid w:val="000311E7"/>
    <w:rsid w:val="00031394"/>
    <w:rsid w:val="00031839"/>
    <w:rsid w:val="00031A0F"/>
    <w:rsid w:val="00031AA4"/>
    <w:rsid w:val="00031AF6"/>
    <w:rsid w:val="00031D51"/>
    <w:rsid w:val="00031E59"/>
    <w:rsid w:val="0003210E"/>
    <w:rsid w:val="0003225C"/>
    <w:rsid w:val="000322F9"/>
    <w:rsid w:val="000324A0"/>
    <w:rsid w:val="00032775"/>
    <w:rsid w:val="00032AE8"/>
    <w:rsid w:val="00032B0E"/>
    <w:rsid w:val="00032CB9"/>
    <w:rsid w:val="0003343C"/>
    <w:rsid w:val="000334BC"/>
    <w:rsid w:val="000336DB"/>
    <w:rsid w:val="000337FD"/>
    <w:rsid w:val="0003387C"/>
    <w:rsid w:val="000338E3"/>
    <w:rsid w:val="00033C9C"/>
    <w:rsid w:val="00033CF7"/>
    <w:rsid w:val="00034CAB"/>
    <w:rsid w:val="00034D80"/>
    <w:rsid w:val="00034DB5"/>
    <w:rsid w:val="00035032"/>
    <w:rsid w:val="00035444"/>
    <w:rsid w:val="0003584D"/>
    <w:rsid w:val="00035866"/>
    <w:rsid w:val="000358E6"/>
    <w:rsid w:val="00035B4E"/>
    <w:rsid w:val="00035B51"/>
    <w:rsid w:val="00035BA9"/>
    <w:rsid w:val="00035C27"/>
    <w:rsid w:val="00035F6E"/>
    <w:rsid w:val="00035FB1"/>
    <w:rsid w:val="0003614A"/>
    <w:rsid w:val="000361F8"/>
    <w:rsid w:val="000365E8"/>
    <w:rsid w:val="0003699A"/>
    <w:rsid w:val="00036E5E"/>
    <w:rsid w:val="00036F01"/>
    <w:rsid w:val="0003725B"/>
    <w:rsid w:val="0003730D"/>
    <w:rsid w:val="00037355"/>
    <w:rsid w:val="0003740D"/>
    <w:rsid w:val="00037A04"/>
    <w:rsid w:val="00037A47"/>
    <w:rsid w:val="00037B49"/>
    <w:rsid w:val="00037E02"/>
    <w:rsid w:val="00040280"/>
    <w:rsid w:val="0004037D"/>
    <w:rsid w:val="00040395"/>
    <w:rsid w:val="000404BA"/>
    <w:rsid w:val="000407D3"/>
    <w:rsid w:val="0004084D"/>
    <w:rsid w:val="00040B07"/>
    <w:rsid w:val="00040ED2"/>
    <w:rsid w:val="0004151E"/>
    <w:rsid w:val="0004168A"/>
    <w:rsid w:val="00041706"/>
    <w:rsid w:val="0004193F"/>
    <w:rsid w:val="00041959"/>
    <w:rsid w:val="00041B5E"/>
    <w:rsid w:val="00042157"/>
    <w:rsid w:val="00042280"/>
    <w:rsid w:val="00042300"/>
    <w:rsid w:val="0004232B"/>
    <w:rsid w:val="000425F6"/>
    <w:rsid w:val="0004293C"/>
    <w:rsid w:val="0004293D"/>
    <w:rsid w:val="000429D3"/>
    <w:rsid w:val="00042C7B"/>
    <w:rsid w:val="00042EB0"/>
    <w:rsid w:val="00042EFF"/>
    <w:rsid w:val="000433AE"/>
    <w:rsid w:val="00043B8A"/>
    <w:rsid w:val="00043C4B"/>
    <w:rsid w:val="00043FBF"/>
    <w:rsid w:val="00044032"/>
    <w:rsid w:val="00044683"/>
    <w:rsid w:val="000449A1"/>
    <w:rsid w:val="00045079"/>
    <w:rsid w:val="00045614"/>
    <w:rsid w:val="000456AB"/>
    <w:rsid w:val="000458D0"/>
    <w:rsid w:val="0004593D"/>
    <w:rsid w:val="00045975"/>
    <w:rsid w:val="00045AF2"/>
    <w:rsid w:val="00045D6E"/>
    <w:rsid w:val="0004609F"/>
    <w:rsid w:val="000460B9"/>
    <w:rsid w:val="000462B7"/>
    <w:rsid w:val="0004636D"/>
    <w:rsid w:val="000463EE"/>
    <w:rsid w:val="00046970"/>
    <w:rsid w:val="00046AF2"/>
    <w:rsid w:val="00046C83"/>
    <w:rsid w:val="00046CA1"/>
    <w:rsid w:val="000470B8"/>
    <w:rsid w:val="000470F6"/>
    <w:rsid w:val="00047101"/>
    <w:rsid w:val="000471C2"/>
    <w:rsid w:val="00047550"/>
    <w:rsid w:val="00047896"/>
    <w:rsid w:val="00047929"/>
    <w:rsid w:val="00047AFB"/>
    <w:rsid w:val="00047FF5"/>
    <w:rsid w:val="0005012B"/>
    <w:rsid w:val="00050331"/>
    <w:rsid w:val="000504A5"/>
    <w:rsid w:val="000504CB"/>
    <w:rsid w:val="000507BC"/>
    <w:rsid w:val="0005088F"/>
    <w:rsid w:val="00050C07"/>
    <w:rsid w:val="00051435"/>
    <w:rsid w:val="00051622"/>
    <w:rsid w:val="00051766"/>
    <w:rsid w:val="000518F7"/>
    <w:rsid w:val="00051923"/>
    <w:rsid w:val="00051DFC"/>
    <w:rsid w:val="00052054"/>
    <w:rsid w:val="00052187"/>
    <w:rsid w:val="0005232D"/>
    <w:rsid w:val="000524C3"/>
    <w:rsid w:val="000524EB"/>
    <w:rsid w:val="0005269E"/>
    <w:rsid w:val="00052779"/>
    <w:rsid w:val="00052C18"/>
    <w:rsid w:val="00052CEC"/>
    <w:rsid w:val="00052CF7"/>
    <w:rsid w:val="00053400"/>
    <w:rsid w:val="000534FE"/>
    <w:rsid w:val="000536CC"/>
    <w:rsid w:val="00053793"/>
    <w:rsid w:val="000537F1"/>
    <w:rsid w:val="00053BC5"/>
    <w:rsid w:val="00053D6A"/>
    <w:rsid w:val="00053DEB"/>
    <w:rsid w:val="00053FB7"/>
    <w:rsid w:val="00054009"/>
    <w:rsid w:val="00054708"/>
    <w:rsid w:val="00054750"/>
    <w:rsid w:val="000547CD"/>
    <w:rsid w:val="0005481F"/>
    <w:rsid w:val="00054C0E"/>
    <w:rsid w:val="00054ED7"/>
    <w:rsid w:val="00055011"/>
    <w:rsid w:val="000551D3"/>
    <w:rsid w:val="0005550C"/>
    <w:rsid w:val="00055742"/>
    <w:rsid w:val="0005595A"/>
    <w:rsid w:val="00055E1E"/>
    <w:rsid w:val="00055EFC"/>
    <w:rsid w:val="00056126"/>
    <w:rsid w:val="00056415"/>
    <w:rsid w:val="00056504"/>
    <w:rsid w:val="000568B0"/>
    <w:rsid w:val="00056A28"/>
    <w:rsid w:val="00056AFB"/>
    <w:rsid w:val="00056D5F"/>
    <w:rsid w:val="00056F02"/>
    <w:rsid w:val="00057051"/>
    <w:rsid w:val="000573AB"/>
    <w:rsid w:val="00057433"/>
    <w:rsid w:val="00057681"/>
    <w:rsid w:val="00057683"/>
    <w:rsid w:val="00057956"/>
    <w:rsid w:val="00060337"/>
    <w:rsid w:val="000607D6"/>
    <w:rsid w:val="00060965"/>
    <w:rsid w:val="000609C7"/>
    <w:rsid w:val="000609E3"/>
    <w:rsid w:val="00060B3B"/>
    <w:rsid w:val="0006104B"/>
    <w:rsid w:val="000610B7"/>
    <w:rsid w:val="00061211"/>
    <w:rsid w:val="0006133C"/>
    <w:rsid w:val="00061608"/>
    <w:rsid w:val="0006162D"/>
    <w:rsid w:val="00061682"/>
    <w:rsid w:val="00061690"/>
    <w:rsid w:val="000616FB"/>
    <w:rsid w:val="00061E3B"/>
    <w:rsid w:val="00061EA0"/>
    <w:rsid w:val="0006200D"/>
    <w:rsid w:val="000627D1"/>
    <w:rsid w:val="00062826"/>
    <w:rsid w:val="00062899"/>
    <w:rsid w:val="00062A1F"/>
    <w:rsid w:val="00062A5F"/>
    <w:rsid w:val="00062D11"/>
    <w:rsid w:val="00062E58"/>
    <w:rsid w:val="00062FA0"/>
    <w:rsid w:val="00063031"/>
    <w:rsid w:val="00063667"/>
    <w:rsid w:val="000637C2"/>
    <w:rsid w:val="00063DE1"/>
    <w:rsid w:val="00063E5E"/>
    <w:rsid w:val="00063F6C"/>
    <w:rsid w:val="00064365"/>
    <w:rsid w:val="000646AB"/>
    <w:rsid w:val="00064986"/>
    <w:rsid w:val="00064CDF"/>
    <w:rsid w:val="00064E41"/>
    <w:rsid w:val="00064EE9"/>
    <w:rsid w:val="0006511A"/>
    <w:rsid w:val="00065211"/>
    <w:rsid w:val="00065A23"/>
    <w:rsid w:val="00065B3F"/>
    <w:rsid w:val="00065B7C"/>
    <w:rsid w:val="00065EE2"/>
    <w:rsid w:val="00065FEE"/>
    <w:rsid w:val="0006635C"/>
    <w:rsid w:val="0006658E"/>
    <w:rsid w:val="0006663C"/>
    <w:rsid w:val="00066973"/>
    <w:rsid w:val="00066DAB"/>
    <w:rsid w:val="00066F30"/>
    <w:rsid w:val="00067313"/>
    <w:rsid w:val="00067325"/>
    <w:rsid w:val="000675EA"/>
    <w:rsid w:val="0006765C"/>
    <w:rsid w:val="0006772E"/>
    <w:rsid w:val="00067737"/>
    <w:rsid w:val="00067AE8"/>
    <w:rsid w:val="00067B27"/>
    <w:rsid w:val="00067C84"/>
    <w:rsid w:val="00067EE3"/>
    <w:rsid w:val="00070171"/>
    <w:rsid w:val="000701E7"/>
    <w:rsid w:val="00070530"/>
    <w:rsid w:val="000706C7"/>
    <w:rsid w:val="00070931"/>
    <w:rsid w:val="00070A99"/>
    <w:rsid w:val="00071317"/>
    <w:rsid w:val="000713E9"/>
    <w:rsid w:val="000718A4"/>
    <w:rsid w:val="00071C13"/>
    <w:rsid w:val="00071FC2"/>
    <w:rsid w:val="000724A5"/>
    <w:rsid w:val="00072535"/>
    <w:rsid w:val="000726B0"/>
    <w:rsid w:val="0007278E"/>
    <w:rsid w:val="00072B81"/>
    <w:rsid w:val="00072BD7"/>
    <w:rsid w:val="00072F14"/>
    <w:rsid w:val="00072F91"/>
    <w:rsid w:val="00073025"/>
    <w:rsid w:val="00073042"/>
    <w:rsid w:val="00073302"/>
    <w:rsid w:val="00073605"/>
    <w:rsid w:val="00073843"/>
    <w:rsid w:val="00073B24"/>
    <w:rsid w:val="0007417F"/>
    <w:rsid w:val="00074205"/>
    <w:rsid w:val="00074349"/>
    <w:rsid w:val="000749F4"/>
    <w:rsid w:val="000749FE"/>
    <w:rsid w:val="000750B7"/>
    <w:rsid w:val="000751F9"/>
    <w:rsid w:val="000751FA"/>
    <w:rsid w:val="00075A26"/>
    <w:rsid w:val="00075A37"/>
    <w:rsid w:val="00075C5C"/>
    <w:rsid w:val="0007641D"/>
    <w:rsid w:val="00076445"/>
    <w:rsid w:val="00076636"/>
    <w:rsid w:val="000769AC"/>
    <w:rsid w:val="00076E2E"/>
    <w:rsid w:val="0007704B"/>
    <w:rsid w:val="000772CB"/>
    <w:rsid w:val="000774F3"/>
    <w:rsid w:val="000777E4"/>
    <w:rsid w:val="000779BC"/>
    <w:rsid w:val="00077C06"/>
    <w:rsid w:val="00077C35"/>
    <w:rsid w:val="00077CF8"/>
    <w:rsid w:val="00077F9B"/>
    <w:rsid w:val="00077FBC"/>
    <w:rsid w:val="0008061F"/>
    <w:rsid w:val="0008064E"/>
    <w:rsid w:val="00080656"/>
    <w:rsid w:val="000807CA"/>
    <w:rsid w:val="0008085D"/>
    <w:rsid w:val="00080A76"/>
    <w:rsid w:val="00080B6F"/>
    <w:rsid w:val="00080DC2"/>
    <w:rsid w:val="00080EEE"/>
    <w:rsid w:val="00080F14"/>
    <w:rsid w:val="0008136D"/>
    <w:rsid w:val="0008141A"/>
    <w:rsid w:val="0008167A"/>
    <w:rsid w:val="00081776"/>
    <w:rsid w:val="00081A97"/>
    <w:rsid w:val="00081B87"/>
    <w:rsid w:val="00081DF5"/>
    <w:rsid w:val="00081F67"/>
    <w:rsid w:val="00082391"/>
    <w:rsid w:val="000823D8"/>
    <w:rsid w:val="000826C0"/>
    <w:rsid w:val="00082862"/>
    <w:rsid w:val="0008287C"/>
    <w:rsid w:val="00082E33"/>
    <w:rsid w:val="00082F10"/>
    <w:rsid w:val="000830D9"/>
    <w:rsid w:val="000831A9"/>
    <w:rsid w:val="000831BD"/>
    <w:rsid w:val="000831D9"/>
    <w:rsid w:val="00083511"/>
    <w:rsid w:val="00083615"/>
    <w:rsid w:val="00083645"/>
    <w:rsid w:val="00083B01"/>
    <w:rsid w:val="00083F8C"/>
    <w:rsid w:val="00084102"/>
    <w:rsid w:val="00084505"/>
    <w:rsid w:val="00084539"/>
    <w:rsid w:val="00084703"/>
    <w:rsid w:val="00084714"/>
    <w:rsid w:val="00084AAF"/>
    <w:rsid w:val="00084AB0"/>
    <w:rsid w:val="00084B44"/>
    <w:rsid w:val="00084E58"/>
    <w:rsid w:val="00084EFA"/>
    <w:rsid w:val="0008504B"/>
    <w:rsid w:val="00085216"/>
    <w:rsid w:val="0008546E"/>
    <w:rsid w:val="000854DE"/>
    <w:rsid w:val="0008556A"/>
    <w:rsid w:val="0008579F"/>
    <w:rsid w:val="0008592D"/>
    <w:rsid w:val="000859BF"/>
    <w:rsid w:val="00085C32"/>
    <w:rsid w:val="00085D03"/>
    <w:rsid w:val="00086048"/>
    <w:rsid w:val="000861F0"/>
    <w:rsid w:val="000867BD"/>
    <w:rsid w:val="00086A91"/>
    <w:rsid w:val="00086AEB"/>
    <w:rsid w:val="00087A77"/>
    <w:rsid w:val="00087BDC"/>
    <w:rsid w:val="00087BFD"/>
    <w:rsid w:val="00087ECC"/>
    <w:rsid w:val="00090B15"/>
    <w:rsid w:val="00090C56"/>
    <w:rsid w:val="00090E0E"/>
    <w:rsid w:val="00090E8A"/>
    <w:rsid w:val="00090F4E"/>
    <w:rsid w:val="000910E7"/>
    <w:rsid w:val="00091104"/>
    <w:rsid w:val="00091142"/>
    <w:rsid w:val="000913E2"/>
    <w:rsid w:val="000916A9"/>
    <w:rsid w:val="00091750"/>
    <w:rsid w:val="000917EB"/>
    <w:rsid w:val="00091836"/>
    <w:rsid w:val="0009207E"/>
    <w:rsid w:val="00092690"/>
    <w:rsid w:val="00092719"/>
    <w:rsid w:val="000927F6"/>
    <w:rsid w:val="0009289B"/>
    <w:rsid w:val="00092CA4"/>
    <w:rsid w:val="00092E9A"/>
    <w:rsid w:val="00092F56"/>
    <w:rsid w:val="00092FD8"/>
    <w:rsid w:val="000935E7"/>
    <w:rsid w:val="0009380F"/>
    <w:rsid w:val="00093896"/>
    <w:rsid w:val="00093FA1"/>
    <w:rsid w:val="000942DE"/>
    <w:rsid w:val="00094B1E"/>
    <w:rsid w:val="00094EB8"/>
    <w:rsid w:val="00095233"/>
    <w:rsid w:val="00095317"/>
    <w:rsid w:val="00095422"/>
    <w:rsid w:val="00095445"/>
    <w:rsid w:val="00095CA6"/>
    <w:rsid w:val="00096052"/>
    <w:rsid w:val="00096168"/>
    <w:rsid w:val="0009619D"/>
    <w:rsid w:val="0009639E"/>
    <w:rsid w:val="0009684D"/>
    <w:rsid w:val="00096DEF"/>
    <w:rsid w:val="00097038"/>
    <w:rsid w:val="00097364"/>
    <w:rsid w:val="000976A8"/>
    <w:rsid w:val="00097981"/>
    <w:rsid w:val="00097AF9"/>
    <w:rsid w:val="00097CF4"/>
    <w:rsid w:val="00097F3F"/>
    <w:rsid w:val="00097F82"/>
    <w:rsid w:val="000A010D"/>
    <w:rsid w:val="000A02ED"/>
    <w:rsid w:val="000A02F5"/>
    <w:rsid w:val="000A05E9"/>
    <w:rsid w:val="000A082E"/>
    <w:rsid w:val="000A0927"/>
    <w:rsid w:val="000A09A0"/>
    <w:rsid w:val="000A0A78"/>
    <w:rsid w:val="000A0DF4"/>
    <w:rsid w:val="000A0E23"/>
    <w:rsid w:val="000A12AD"/>
    <w:rsid w:val="000A1578"/>
    <w:rsid w:val="000A1916"/>
    <w:rsid w:val="000A19A8"/>
    <w:rsid w:val="000A1A0A"/>
    <w:rsid w:val="000A1C08"/>
    <w:rsid w:val="000A1F83"/>
    <w:rsid w:val="000A23A7"/>
    <w:rsid w:val="000A24F4"/>
    <w:rsid w:val="000A25FD"/>
    <w:rsid w:val="000A2677"/>
    <w:rsid w:val="000A2775"/>
    <w:rsid w:val="000A2E49"/>
    <w:rsid w:val="000A304F"/>
    <w:rsid w:val="000A3487"/>
    <w:rsid w:val="000A34E4"/>
    <w:rsid w:val="000A3510"/>
    <w:rsid w:val="000A35FB"/>
    <w:rsid w:val="000A40F3"/>
    <w:rsid w:val="000A4191"/>
    <w:rsid w:val="000A4347"/>
    <w:rsid w:val="000A482C"/>
    <w:rsid w:val="000A4DE2"/>
    <w:rsid w:val="000A4E72"/>
    <w:rsid w:val="000A5033"/>
    <w:rsid w:val="000A51CA"/>
    <w:rsid w:val="000A56B7"/>
    <w:rsid w:val="000A56F3"/>
    <w:rsid w:val="000A58C9"/>
    <w:rsid w:val="000A5C08"/>
    <w:rsid w:val="000A5E68"/>
    <w:rsid w:val="000A61C1"/>
    <w:rsid w:val="000A6254"/>
    <w:rsid w:val="000A64B1"/>
    <w:rsid w:val="000A651D"/>
    <w:rsid w:val="000A659B"/>
    <w:rsid w:val="000A67D0"/>
    <w:rsid w:val="000A6A0B"/>
    <w:rsid w:val="000A6AE2"/>
    <w:rsid w:val="000A6C3C"/>
    <w:rsid w:val="000A6F8C"/>
    <w:rsid w:val="000A7063"/>
    <w:rsid w:val="000A73DA"/>
    <w:rsid w:val="000A76E0"/>
    <w:rsid w:val="000A7A09"/>
    <w:rsid w:val="000A7D2B"/>
    <w:rsid w:val="000A7F0D"/>
    <w:rsid w:val="000A7F4D"/>
    <w:rsid w:val="000A7F84"/>
    <w:rsid w:val="000A7FD8"/>
    <w:rsid w:val="000B09DE"/>
    <w:rsid w:val="000B0B79"/>
    <w:rsid w:val="000B0B9D"/>
    <w:rsid w:val="000B0BBA"/>
    <w:rsid w:val="000B0C44"/>
    <w:rsid w:val="000B0D46"/>
    <w:rsid w:val="000B0E93"/>
    <w:rsid w:val="000B153C"/>
    <w:rsid w:val="000B1717"/>
    <w:rsid w:val="000B1906"/>
    <w:rsid w:val="000B19F4"/>
    <w:rsid w:val="000B1A3C"/>
    <w:rsid w:val="000B1EBE"/>
    <w:rsid w:val="000B1F4B"/>
    <w:rsid w:val="000B208A"/>
    <w:rsid w:val="000B208E"/>
    <w:rsid w:val="000B226C"/>
    <w:rsid w:val="000B2764"/>
    <w:rsid w:val="000B2995"/>
    <w:rsid w:val="000B2C4E"/>
    <w:rsid w:val="000B2C71"/>
    <w:rsid w:val="000B2CE5"/>
    <w:rsid w:val="000B38C8"/>
    <w:rsid w:val="000B3E74"/>
    <w:rsid w:val="000B3F5C"/>
    <w:rsid w:val="000B3F6F"/>
    <w:rsid w:val="000B411E"/>
    <w:rsid w:val="000B428D"/>
    <w:rsid w:val="000B446D"/>
    <w:rsid w:val="000B4CCF"/>
    <w:rsid w:val="000B5190"/>
    <w:rsid w:val="000B548C"/>
    <w:rsid w:val="000B583B"/>
    <w:rsid w:val="000B585D"/>
    <w:rsid w:val="000B5AD9"/>
    <w:rsid w:val="000B5D31"/>
    <w:rsid w:val="000B64C4"/>
    <w:rsid w:val="000B6805"/>
    <w:rsid w:val="000B6C5E"/>
    <w:rsid w:val="000B70C3"/>
    <w:rsid w:val="000B73E7"/>
    <w:rsid w:val="000B7644"/>
    <w:rsid w:val="000B7B5D"/>
    <w:rsid w:val="000B7BCA"/>
    <w:rsid w:val="000C0396"/>
    <w:rsid w:val="000C06C0"/>
    <w:rsid w:val="000C0BD6"/>
    <w:rsid w:val="000C0C1C"/>
    <w:rsid w:val="000C0D3F"/>
    <w:rsid w:val="000C0FC6"/>
    <w:rsid w:val="000C1A14"/>
    <w:rsid w:val="000C1B35"/>
    <w:rsid w:val="000C1CBE"/>
    <w:rsid w:val="000C2166"/>
    <w:rsid w:val="000C23A8"/>
    <w:rsid w:val="000C2421"/>
    <w:rsid w:val="000C26FD"/>
    <w:rsid w:val="000C273D"/>
    <w:rsid w:val="000C2786"/>
    <w:rsid w:val="000C2C94"/>
    <w:rsid w:val="000C308A"/>
    <w:rsid w:val="000C3233"/>
    <w:rsid w:val="000C32D4"/>
    <w:rsid w:val="000C3306"/>
    <w:rsid w:val="000C3467"/>
    <w:rsid w:val="000C39C0"/>
    <w:rsid w:val="000C3A17"/>
    <w:rsid w:val="000C3C3A"/>
    <w:rsid w:val="000C3F9C"/>
    <w:rsid w:val="000C3FB7"/>
    <w:rsid w:val="000C3FDB"/>
    <w:rsid w:val="000C3FE8"/>
    <w:rsid w:val="000C4056"/>
    <w:rsid w:val="000C4658"/>
    <w:rsid w:val="000C4A3E"/>
    <w:rsid w:val="000C4CB3"/>
    <w:rsid w:val="000C4D56"/>
    <w:rsid w:val="000C5107"/>
    <w:rsid w:val="000C519C"/>
    <w:rsid w:val="000C51AA"/>
    <w:rsid w:val="000C522D"/>
    <w:rsid w:val="000C5291"/>
    <w:rsid w:val="000C52F2"/>
    <w:rsid w:val="000C5374"/>
    <w:rsid w:val="000C5417"/>
    <w:rsid w:val="000C5497"/>
    <w:rsid w:val="000C5AC7"/>
    <w:rsid w:val="000C5D0D"/>
    <w:rsid w:val="000C5F0F"/>
    <w:rsid w:val="000C63FC"/>
    <w:rsid w:val="000C6473"/>
    <w:rsid w:val="000C677D"/>
    <w:rsid w:val="000C6A50"/>
    <w:rsid w:val="000C7182"/>
    <w:rsid w:val="000C7386"/>
    <w:rsid w:val="000C7755"/>
    <w:rsid w:val="000C7A6B"/>
    <w:rsid w:val="000C7E59"/>
    <w:rsid w:val="000C7EEE"/>
    <w:rsid w:val="000D03E1"/>
    <w:rsid w:val="000D057D"/>
    <w:rsid w:val="000D076C"/>
    <w:rsid w:val="000D07D7"/>
    <w:rsid w:val="000D0899"/>
    <w:rsid w:val="000D0D2E"/>
    <w:rsid w:val="000D0EB5"/>
    <w:rsid w:val="000D0F9B"/>
    <w:rsid w:val="000D127C"/>
    <w:rsid w:val="000D140F"/>
    <w:rsid w:val="000D1589"/>
    <w:rsid w:val="000D1670"/>
    <w:rsid w:val="000D1A50"/>
    <w:rsid w:val="000D1AE0"/>
    <w:rsid w:val="000D1D29"/>
    <w:rsid w:val="000D20DA"/>
    <w:rsid w:val="000D2416"/>
    <w:rsid w:val="000D246D"/>
    <w:rsid w:val="000D2579"/>
    <w:rsid w:val="000D280D"/>
    <w:rsid w:val="000D2913"/>
    <w:rsid w:val="000D2B3E"/>
    <w:rsid w:val="000D2BF8"/>
    <w:rsid w:val="000D33BF"/>
    <w:rsid w:val="000D35B9"/>
    <w:rsid w:val="000D369C"/>
    <w:rsid w:val="000D3867"/>
    <w:rsid w:val="000D3985"/>
    <w:rsid w:val="000D3A39"/>
    <w:rsid w:val="000D3B0D"/>
    <w:rsid w:val="000D3F2B"/>
    <w:rsid w:val="000D3FFC"/>
    <w:rsid w:val="000D4472"/>
    <w:rsid w:val="000D453B"/>
    <w:rsid w:val="000D4811"/>
    <w:rsid w:val="000D4B4F"/>
    <w:rsid w:val="000D5057"/>
    <w:rsid w:val="000D5330"/>
    <w:rsid w:val="000D53FF"/>
    <w:rsid w:val="000D59A0"/>
    <w:rsid w:val="000D6084"/>
    <w:rsid w:val="000D610E"/>
    <w:rsid w:val="000D6236"/>
    <w:rsid w:val="000D6284"/>
    <w:rsid w:val="000D6326"/>
    <w:rsid w:val="000D637F"/>
    <w:rsid w:val="000D6F0D"/>
    <w:rsid w:val="000D6F64"/>
    <w:rsid w:val="000D7017"/>
    <w:rsid w:val="000D73E3"/>
    <w:rsid w:val="000D7609"/>
    <w:rsid w:val="000D76F6"/>
    <w:rsid w:val="000D7855"/>
    <w:rsid w:val="000D7981"/>
    <w:rsid w:val="000D7B05"/>
    <w:rsid w:val="000D7F91"/>
    <w:rsid w:val="000D7F9F"/>
    <w:rsid w:val="000E0358"/>
    <w:rsid w:val="000E07F4"/>
    <w:rsid w:val="000E0866"/>
    <w:rsid w:val="000E0A38"/>
    <w:rsid w:val="000E0D85"/>
    <w:rsid w:val="000E0E78"/>
    <w:rsid w:val="000E0F2A"/>
    <w:rsid w:val="000E12F0"/>
    <w:rsid w:val="000E163C"/>
    <w:rsid w:val="000E19BC"/>
    <w:rsid w:val="000E1DBD"/>
    <w:rsid w:val="000E1EED"/>
    <w:rsid w:val="000E1F6D"/>
    <w:rsid w:val="000E215D"/>
    <w:rsid w:val="000E267C"/>
    <w:rsid w:val="000E2740"/>
    <w:rsid w:val="000E2789"/>
    <w:rsid w:val="000E2E6A"/>
    <w:rsid w:val="000E2EB1"/>
    <w:rsid w:val="000E2F99"/>
    <w:rsid w:val="000E302D"/>
    <w:rsid w:val="000E3174"/>
    <w:rsid w:val="000E317A"/>
    <w:rsid w:val="000E355C"/>
    <w:rsid w:val="000E3822"/>
    <w:rsid w:val="000E3CE3"/>
    <w:rsid w:val="000E40B1"/>
    <w:rsid w:val="000E4221"/>
    <w:rsid w:val="000E4420"/>
    <w:rsid w:val="000E44E7"/>
    <w:rsid w:val="000E4823"/>
    <w:rsid w:val="000E4C08"/>
    <w:rsid w:val="000E4D47"/>
    <w:rsid w:val="000E4E21"/>
    <w:rsid w:val="000E518A"/>
    <w:rsid w:val="000E51D9"/>
    <w:rsid w:val="000E52E9"/>
    <w:rsid w:val="000E5471"/>
    <w:rsid w:val="000E550C"/>
    <w:rsid w:val="000E5574"/>
    <w:rsid w:val="000E588F"/>
    <w:rsid w:val="000E5896"/>
    <w:rsid w:val="000E59CF"/>
    <w:rsid w:val="000E5F67"/>
    <w:rsid w:val="000E5FDE"/>
    <w:rsid w:val="000E60C0"/>
    <w:rsid w:val="000E620B"/>
    <w:rsid w:val="000E6351"/>
    <w:rsid w:val="000E653D"/>
    <w:rsid w:val="000E67EF"/>
    <w:rsid w:val="000E69F7"/>
    <w:rsid w:val="000E6A3B"/>
    <w:rsid w:val="000E6B3B"/>
    <w:rsid w:val="000E6DE5"/>
    <w:rsid w:val="000E7366"/>
    <w:rsid w:val="000E7595"/>
    <w:rsid w:val="000F03DE"/>
    <w:rsid w:val="000F05D3"/>
    <w:rsid w:val="000F060F"/>
    <w:rsid w:val="000F0760"/>
    <w:rsid w:val="000F0834"/>
    <w:rsid w:val="000F0CA0"/>
    <w:rsid w:val="000F0D49"/>
    <w:rsid w:val="000F0E43"/>
    <w:rsid w:val="000F10FB"/>
    <w:rsid w:val="000F126E"/>
    <w:rsid w:val="000F12A2"/>
    <w:rsid w:val="000F1480"/>
    <w:rsid w:val="000F1502"/>
    <w:rsid w:val="000F192C"/>
    <w:rsid w:val="000F19CC"/>
    <w:rsid w:val="000F1C1E"/>
    <w:rsid w:val="000F1C64"/>
    <w:rsid w:val="000F1CEE"/>
    <w:rsid w:val="000F1E52"/>
    <w:rsid w:val="000F1FCA"/>
    <w:rsid w:val="000F1FEC"/>
    <w:rsid w:val="000F23E2"/>
    <w:rsid w:val="000F2418"/>
    <w:rsid w:val="000F2F24"/>
    <w:rsid w:val="000F31D7"/>
    <w:rsid w:val="000F3334"/>
    <w:rsid w:val="000F3427"/>
    <w:rsid w:val="000F342F"/>
    <w:rsid w:val="000F3653"/>
    <w:rsid w:val="000F36F5"/>
    <w:rsid w:val="000F37A6"/>
    <w:rsid w:val="000F3840"/>
    <w:rsid w:val="000F3AD2"/>
    <w:rsid w:val="000F3B3B"/>
    <w:rsid w:val="000F458A"/>
    <w:rsid w:val="000F49F1"/>
    <w:rsid w:val="000F4C68"/>
    <w:rsid w:val="000F504C"/>
    <w:rsid w:val="000F51F7"/>
    <w:rsid w:val="000F5285"/>
    <w:rsid w:val="000F5311"/>
    <w:rsid w:val="000F5338"/>
    <w:rsid w:val="000F5341"/>
    <w:rsid w:val="000F557C"/>
    <w:rsid w:val="000F5669"/>
    <w:rsid w:val="000F593A"/>
    <w:rsid w:val="000F59EE"/>
    <w:rsid w:val="000F6133"/>
    <w:rsid w:val="000F6369"/>
    <w:rsid w:val="000F641E"/>
    <w:rsid w:val="000F6526"/>
    <w:rsid w:val="000F65B9"/>
    <w:rsid w:val="000F6828"/>
    <w:rsid w:val="000F6A68"/>
    <w:rsid w:val="000F6C71"/>
    <w:rsid w:val="000F6FD2"/>
    <w:rsid w:val="000F7459"/>
    <w:rsid w:val="000F78B5"/>
    <w:rsid w:val="000F7A53"/>
    <w:rsid w:val="000F7AAC"/>
    <w:rsid w:val="000F7ABC"/>
    <w:rsid w:val="000F7D43"/>
    <w:rsid w:val="000F7DD5"/>
    <w:rsid w:val="000F7FC5"/>
    <w:rsid w:val="001000F3"/>
    <w:rsid w:val="00100286"/>
    <w:rsid w:val="001003AE"/>
    <w:rsid w:val="00100932"/>
    <w:rsid w:val="00100DAE"/>
    <w:rsid w:val="001011AE"/>
    <w:rsid w:val="001012EB"/>
    <w:rsid w:val="00102038"/>
    <w:rsid w:val="0010207D"/>
    <w:rsid w:val="00102240"/>
    <w:rsid w:val="00102664"/>
    <w:rsid w:val="00102B21"/>
    <w:rsid w:val="00102DD5"/>
    <w:rsid w:val="001030CD"/>
    <w:rsid w:val="0010313A"/>
    <w:rsid w:val="00103708"/>
    <w:rsid w:val="00103794"/>
    <w:rsid w:val="00103AC7"/>
    <w:rsid w:val="00103C3F"/>
    <w:rsid w:val="00103CB7"/>
    <w:rsid w:val="00103E9A"/>
    <w:rsid w:val="00103EE4"/>
    <w:rsid w:val="00103EF5"/>
    <w:rsid w:val="00103F46"/>
    <w:rsid w:val="00104121"/>
    <w:rsid w:val="0010434F"/>
    <w:rsid w:val="00104625"/>
    <w:rsid w:val="0010467E"/>
    <w:rsid w:val="001046AD"/>
    <w:rsid w:val="0010493E"/>
    <w:rsid w:val="001049F5"/>
    <w:rsid w:val="00104E5A"/>
    <w:rsid w:val="00104F16"/>
    <w:rsid w:val="00105139"/>
    <w:rsid w:val="0010524C"/>
    <w:rsid w:val="001052F7"/>
    <w:rsid w:val="001053A6"/>
    <w:rsid w:val="001056DE"/>
    <w:rsid w:val="00105722"/>
    <w:rsid w:val="00105AE3"/>
    <w:rsid w:val="00105C6B"/>
    <w:rsid w:val="0010621A"/>
    <w:rsid w:val="00106251"/>
    <w:rsid w:val="0010637E"/>
    <w:rsid w:val="00106457"/>
    <w:rsid w:val="00106581"/>
    <w:rsid w:val="00106641"/>
    <w:rsid w:val="001066B5"/>
    <w:rsid w:val="001067D8"/>
    <w:rsid w:val="00106846"/>
    <w:rsid w:val="00106C81"/>
    <w:rsid w:val="00106FC9"/>
    <w:rsid w:val="0010757F"/>
    <w:rsid w:val="00110110"/>
    <w:rsid w:val="0011025E"/>
    <w:rsid w:val="001102D8"/>
    <w:rsid w:val="00110366"/>
    <w:rsid w:val="00110437"/>
    <w:rsid w:val="00110490"/>
    <w:rsid w:val="0011054D"/>
    <w:rsid w:val="00110722"/>
    <w:rsid w:val="00110788"/>
    <w:rsid w:val="00110914"/>
    <w:rsid w:val="0011092F"/>
    <w:rsid w:val="00110A1F"/>
    <w:rsid w:val="00110CDA"/>
    <w:rsid w:val="00110F25"/>
    <w:rsid w:val="0011106A"/>
    <w:rsid w:val="00111174"/>
    <w:rsid w:val="001112A3"/>
    <w:rsid w:val="001113C8"/>
    <w:rsid w:val="00111757"/>
    <w:rsid w:val="0011197F"/>
    <w:rsid w:val="00111D9B"/>
    <w:rsid w:val="0011252B"/>
    <w:rsid w:val="0011293C"/>
    <w:rsid w:val="0011297A"/>
    <w:rsid w:val="0011299D"/>
    <w:rsid w:val="00112BDC"/>
    <w:rsid w:val="00112DD6"/>
    <w:rsid w:val="00112FF0"/>
    <w:rsid w:val="00113141"/>
    <w:rsid w:val="0011322A"/>
    <w:rsid w:val="00113395"/>
    <w:rsid w:val="0011379D"/>
    <w:rsid w:val="0011385E"/>
    <w:rsid w:val="00113AF9"/>
    <w:rsid w:val="00113EA0"/>
    <w:rsid w:val="0011406E"/>
    <w:rsid w:val="00114253"/>
    <w:rsid w:val="00114280"/>
    <w:rsid w:val="0011442E"/>
    <w:rsid w:val="001144E3"/>
    <w:rsid w:val="001144F5"/>
    <w:rsid w:val="00114883"/>
    <w:rsid w:val="00114F9C"/>
    <w:rsid w:val="001150AE"/>
    <w:rsid w:val="0011518A"/>
    <w:rsid w:val="001151CF"/>
    <w:rsid w:val="00115288"/>
    <w:rsid w:val="001154A0"/>
    <w:rsid w:val="00115774"/>
    <w:rsid w:val="00115D22"/>
    <w:rsid w:val="00115D98"/>
    <w:rsid w:val="00116291"/>
    <w:rsid w:val="0011640C"/>
    <w:rsid w:val="00116683"/>
    <w:rsid w:val="00116C5F"/>
    <w:rsid w:val="00116C9A"/>
    <w:rsid w:val="00116E14"/>
    <w:rsid w:val="00117536"/>
    <w:rsid w:val="001175B1"/>
    <w:rsid w:val="0011775A"/>
    <w:rsid w:val="001177C7"/>
    <w:rsid w:val="00117A93"/>
    <w:rsid w:val="00117AB5"/>
    <w:rsid w:val="00117CC2"/>
    <w:rsid w:val="00117CE5"/>
    <w:rsid w:val="00117D32"/>
    <w:rsid w:val="00117FE3"/>
    <w:rsid w:val="0012013D"/>
    <w:rsid w:val="0012069F"/>
    <w:rsid w:val="00120A64"/>
    <w:rsid w:val="00120B3B"/>
    <w:rsid w:val="00120BC5"/>
    <w:rsid w:val="00120DA0"/>
    <w:rsid w:val="00120EEC"/>
    <w:rsid w:val="00121009"/>
    <w:rsid w:val="00121040"/>
    <w:rsid w:val="001210EC"/>
    <w:rsid w:val="001219C4"/>
    <w:rsid w:val="001219DF"/>
    <w:rsid w:val="00121F63"/>
    <w:rsid w:val="00121F8A"/>
    <w:rsid w:val="00122185"/>
    <w:rsid w:val="001223D7"/>
    <w:rsid w:val="001224D4"/>
    <w:rsid w:val="001225EF"/>
    <w:rsid w:val="00122722"/>
    <w:rsid w:val="00122981"/>
    <w:rsid w:val="00122A1F"/>
    <w:rsid w:val="00123B63"/>
    <w:rsid w:val="00123DC1"/>
    <w:rsid w:val="00123E10"/>
    <w:rsid w:val="00124413"/>
    <w:rsid w:val="0012448D"/>
    <w:rsid w:val="001246CF"/>
    <w:rsid w:val="001247C7"/>
    <w:rsid w:val="001249C9"/>
    <w:rsid w:val="00124D8C"/>
    <w:rsid w:val="00124DAE"/>
    <w:rsid w:val="00124ED2"/>
    <w:rsid w:val="0012535B"/>
    <w:rsid w:val="001256F8"/>
    <w:rsid w:val="00125B9E"/>
    <w:rsid w:val="00125D21"/>
    <w:rsid w:val="00125EE5"/>
    <w:rsid w:val="001261B0"/>
    <w:rsid w:val="0012621A"/>
    <w:rsid w:val="001263E7"/>
    <w:rsid w:val="0012663E"/>
    <w:rsid w:val="00126834"/>
    <w:rsid w:val="0012697D"/>
    <w:rsid w:val="00126BB7"/>
    <w:rsid w:val="00126C0A"/>
    <w:rsid w:val="00126CDB"/>
    <w:rsid w:val="00126DA0"/>
    <w:rsid w:val="00126ED1"/>
    <w:rsid w:val="0012707F"/>
    <w:rsid w:val="001273DF"/>
    <w:rsid w:val="001279FB"/>
    <w:rsid w:val="00127ABE"/>
    <w:rsid w:val="00127AE3"/>
    <w:rsid w:val="00127BEB"/>
    <w:rsid w:val="00127C96"/>
    <w:rsid w:val="00127D1A"/>
    <w:rsid w:val="00127E19"/>
    <w:rsid w:val="00130313"/>
    <w:rsid w:val="00130579"/>
    <w:rsid w:val="001306C1"/>
    <w:rsid w:val="00130861"/>
    <w:rsid w:val="0013090D"/>
    <w:rsid w:val="00131076"/>
    <w:rsid w:val="00131089"/>
    <w:rsid w:val="00131267"/>
    <w:rsid w:val="00131526"/>
    <w:rsid w:val="001319F2"/>
    <w:rsid w:val="00131A5C"/>
    <w:rsid w:val="00131A9C"/>
    <w:rsid w:val="00131B67"/>
    <w:rsid w:val="00131B77"/>
    <w:rsid w:val="00131B78"/>
    <w:rsid w:val="00131E35"/>
    <w:rsid w:val="00131F96"/>
    <w:rsid w:val="00131FA3"/>
    <w:rsid w:val="001320D6"/>
    <w:rsid w:val="00132200"/>
    <w:rsid w:val="001324E7"/>
    <w:rsid w:val="00132683"/>
    <w:rsid w:val="001326E3"/>
    <w:rsid w:val="001327C3"/>
    <w:rsid w:val="001327DC"/>
    <w:rsid w:val="00132915"/>
    <w:rsid w:val="00132B51"/>
    <w:rsid w:val="00132B89"/>
    <w:rsid w:val="00132D2B"/>
    <w:rsid w:val="00132F80"/>
    <w:rsid w:val="00133124"/>
    <w:rsid w:val="00133161"/>
    <w:rsid w:val="001332EF"/>
    <w:rsid w:val="0013379A"/>
    <w:rsid w:val="001339E3"/>
    <w:rsid w:val="00133D13"/>
    <w:rsid w:val="00134491"/>
    <w:rsid w:val="00134523"/>
    <w:rsid w:val="0013467A"/>
    <w:rsid w:val="00134765"/>
    <w:rsid w:val="00134A22"/>
    <w:rsid w:val="00134B47"/>
    <w:rsid w:val="00134C5D"/>
    <w:rsid w:val="00134C72"/>
    <w:rsid w:val="00134DA5"/>
    <w:rsid w:val="00134DBD"/>
    <w:rsid w:val="00134EB7"/>
    <w:rsid w:val="00134FEE"/>
    <w:rsid w:val="00135113"/>
    <w:rsid w:val="0013516E"/>
    <w:rsid w:val="001353E7"/>
    <w:rsid w:val="001358EA"/>
    <w:rsid w:val="00135BA9"/>
    <w:rsid w:val="00135D43"/>
    <w:rsid w:val="00136801"/>
    <w:rsid w:val="001369BD"/>
    <w:rsid w:val="00136B6C"/>
    <w:rsid w:val="001371E4"/>
    <w:rsid w:val="00137322"/>
    <w:rsid w:val="001373EA"/>
    <w:rsid w:val="001374AE"/>
    <w:rsid w:val="001374F9"/>
    <w:rsid w:val="0013752C"/>
    <w:rsid w:val="001376AF"/>
    <w:rsid w:val="00137977"/>
    <w:rsid w:val="001379DD"/>
    <w:rsid w:val="00137B87"/>
    <w:rsid w:val="00137BB8"/>
    <w:rsid w:val="00137F0C"/>
    <w:rsid w:val="00140106"/>
    <w:rsid w:val="00140296"/>
    <w:rsid w:val="0014067E"/>
    <w:rsid w:val="001409A4"/>
    <w:rsid w:val="00140A00"/>
    <w:rsid w:val="00140B54"/>
    <w:rsid w:val="00141355"/>
    <w:rsid w:val="001414C7"/>
    <w:rsid w:val="0014172E"/>
    <w:rsid w:val="00141733"/>
    <w:rsid w:val="0014199B"/>
    <w:rsid w:val="00141B85"/>
    <w:rsid w:val="00141B8D"/>
    <w:rsid w:val="00141DB5"/>
    <w:rsid w:val="00142763"/>
    <w:rsid w:val="0014296B"/>
    <w:rsid w:val="00142988"/>
    <w:rsid w:val="00142A46"/>
    <w:rsid w:val="00142A75"/>
    <w:rsid w:val="00142BF8"/>
    <w:rsid w:val="00142D2B"/>
    <w:rsid w:val="00142ED6"/>
    <w:rsid w:val="00143299"/>
    <w:rsid w:val="001434FC"/>
    <w:rsid w:val="0014365B"/>
    <w:rsid w:val="00143902"/>
    <w:rsid w:val="00143F38"/>
    <w:rsid w:val="0014402A"/>
    <w:rsid w:val="001440BD"/>
    <w:rsid w:val="001441DD"/>
    <w:rsid w:val="001443A5"/>
    <w:rsid w:val="00144AAB"/>
    <w:rsid w:val="00144B99"/>
    <w:rsid w:val="00144DEB"/>
    <w:rsid w:val="0014508A"/>
    <w:rsid w:val="001450AB"/>
    <w:rsid w:val="0014511B"/>
    <w:rsid w:val="001452D4"/>
    <w:rsid w:val="0014555C"/>
    <w:rsid w:val="0014575B"/>
    <w:rsid w:val="00146024"/>
    <w:rsid w:val="0014609F"/>
    <w:rsid w:val="00146782"/>
    <w:rsid w:val="00146880"/>
    <w:rsid w:val="00146F21"/>
    <w:rsid w:val="001474CE"/>
    <w:rsid w:val="0014755F"/>
    <w:rsid w:val="00147948"/>
    <w:rsid w:val="00147B76"/>
    <w:rsid w:val="00147BBC"/>
    <w:rsid w:val="00147D73"/>
    <w:rsid w:val="00150655"/>
    <w:rsid w:val="00150B07"/>
    <w:rsid w:val="00150BB2"/>
    <w:rsid w:val="00150D78"/>
    <w:rsid w:val="00150DE7"/>
    <w:rsid w:val="00151044"/>
    <w:rsid w:val="0015122B"/>
    <w:rsid w:val="00151349"/>
    <w:rsid w:val="00151530"/>
    <w:rsid w:val="00151817"/>
    <w:rsid w:val="00151C7F"/>
    <w:rsid w:val="0015223E"/>
    <w:rsid w:val="001522C0"/>
    <w:rsid w:val="001526C2"/>
    <w:rsid w:val="00152BF9"/>
    <w:rsid w:val="00152D47"/>
    <w:rsid w:val="00153180"/>
    <w:rsid w:val="00153224"/>
    <w:rsid w:val="0015334F"/>
    <w:rsid w:val="00153461"/>
    <w:rsid w:val="00153529"/>
    <w:rsid w:val="001536AA"/>
    <w:rsid w:val="001539B5"/>
    <w:rsid w:val="00154084"/>
    <w:rsid w:val="00154102"/>
    <w:rsid w:val="001543F0"/>
    <w:rsid w:val="0015440D"/>
    <w:rsid w:val="00154861"/>
    <w:rsid w:val="001549D5"/>
    <w:rsid w:val="001549D9"/>
    <w:rsid w:val="00154A6D"/>
    <w:rsid w:val="00154AC8"/>
    <w:rsid w:val="0015514A"/>
    <w:rsid w:val="001551AB"/>
    <w:rsid w:val="001552F2"/>
    <w:rsid w:val="00155650"/>
    <w:rsid w:val="001557EF"/>
    <w:rsid w:val="00155B2F"/>
    <w:rsid w:val="00155D1F"/>
    <w:rsid w:val="00155E60"/>
    <w:rsid w:val="001561A1"/>
    <w:rsid w:val="001563D3"/>
    <w:rsid w:val="00156465"/>
    <w:rsid w:val="0015687D"/>
    <w:rsid w:val="001568AE"/>
    <w:rsid w:val="001569A2"/>
    <w:rsid w:val="00156B3C"/>
    <w:rsid w:val="00156C38"/>
    <w:rsid w:val="0015704F"/>
    <w:rsid w:val="0015705C"/>
    <w:rsid w:val="0015717D"/>
    <w:rsid w:val="00157C80"/>
    <w:rsid w:val="00160660"/>
    <w:rsid w:val="001607A5"/>
    <w:rsid w:val="00160A23"/>
    <w:rsid w:val="00160B19"/>
    <w:rsid w:val="00160E9C"/>
    <w:rsid w:val="001610C7"/>
    <w:rsid w:val="0016144D"/>
    <w:rsid w:val="001614B3"/>
    <w:rsid w:val="001614E6"/>
    <w:rsid w:val="001614F3"/>
    <w:rsid w:val="0016192A"/>
    <w:rsid w:val="00161F57"/>
    <w:rsid w:val="00162E5A"/>
    <w:rsid w:val="00162E7D"/>
    <w:rsid w:val="00163221"/>
    <w:rsid w:val="00163271"/>
    <w:rsid w:val="0016372C"/>
    <w:rsid w:val="00163B0C"/>
    <w:rsid w:val="00163C85"/>
    <w:rsid w:val="00163CE4"/>
    <w:rsid w:val="00163D2F"/>
    <w:rsid w:val="00163D35"/>
    <w:rsid w:val="00163F7D"/>
    <w:rsid w:val="00163FBC"/>
    <w:rsid w:val="001641DF"/>
    <w:rsid w:val="00164230"/>
    <w:rsid w:val="001642D8"/>
    <w:rsid w:val="0016444A"/>
    <w:rsid w:val="00164734"/>
    <w:rsid w:val="001647D6"/>
    <w:rsid w:val="001649F3"/>
    <w:rsid w:val="001650D4"/>
    <w:rsid w:val="001655BC"/>
    <w:rsid w:val="00165ADC"/>
    <w:rsid w:val="00165BDF"/>
    <w:rsid w:val="00165D5D"/>
    <w:rsid w:val="00165DDE"/>
    <w:rsid w:val="00165E97"/>
    <w:rsid w:val="00165F4D"/>
    <w:rsid w:val="00166251"/>
    <w:rsid w:val="0016632E"/>
    <w:rsid w:val="00166726"/>
    <w:rsid w:val="001669F7"/>
    <w:rsid w:val="00166DD6"/>
    <w:rsid w:val="00167266"/>
    <w:rsid w:val="001672C2"/>
    <w:rsid w:val="00167374"/>
    <w:rsid w:val="001679BC"/>
    <w:rsid w:val="00167B50"/>
    <w:rsid w:val="00167D62"/>
    <w:rsid w:val="001701BF"/>
    <w:rsid w:val="00170628"/>
    <w:rsid w:val="00170BAB"/>
    <w:rsid w:val="00170F7B"/>
    <w:rsid w:val="00171036"/>
    <w:rsid w:val="001710C8"/>
    <w:rsid w:val="00171283"/>
    <w:rsid w:val="00171307"/>
    <w:rsid w:val="0017134A"/>
    <w:rsid w:val="00171498"/>
    <w:rsid w:val="00171A14"/>
    <w:rsid w:val="0017206D"/>
    <w:rsid w:val="00172574"/>
    <w:rsid w:val="00172578"/>
    <w:rsid w:val="00172772"/>
    <w:rsid w:val="00172F51"/>
    <w:rsid w:val="00172FC2"/>
    <w:rsid w:val="00173266"/>
    <w:rsid w:val="00173637"/>
    <w:rsid w:val="001736EA"/>
    <w:rsid w:val="0017371F"/>
    <w:rsid w:val="00173842"/>
    <w:rsid w:val="0017384A"/>
    <w:rsid w:val="001739C6"/>
    <w:rsid w:val="00173C8C"/>
    <w:rsid w:val="00173E31"/>
    <w:rsid w:val="0017433D"/>
    <w:rsid w:val="001744F9"/>
    <w:rsid w:val="0017459A"/>
    <w:rsid w:val="001745D2"/>
    <w:rsid w:val="001748DF"/>
    <w:rsid w:val="0017497A"/>
    <w:rsid w:val="00174E39"/>
    <w:rsid w:val="00174E5E"/>
    <w:rsid w:val="00175025"/>
    <w:rsid w:val="0017502A"/>
    <w:rsid w:val="001752BF"/>
    <w:rsid w:val="00175651"/>
    <w:rsid w:val="00175758"/>
    <w:rsid w:val="00175924"/>
    <w:rsid w:val="00175D96"/>
    <w:rsid w:val="001761A3"/>
    <w:rsid w:val="0017622B"/>
    <w:rsid w:val="00176257"/>
    <w:rsid w:val="00176949"/>
    <w:rsid w:val="00176A89"/>
    <w:rsid w:val="00176CF6"/>
    <w:rsid w:val="00177380"/>
    <w:rsid w:val="00177401"/>
    <w:rsid w:val="001774DA"/>
    <w:rsid w:val="00177649"/>
    <w:rsid w:val="00177680"/>
    <w:rsid w:val="00177B56"/>
    <w:rsid w:val="00177EE1"/>
    <w:rsid w:val="00177F51"/>
    <w:rsid w:val="001803CC"/>
    <w:rsid w:val="001805C6"/>
    <w:rsid w:val="00180742"/>
    <w:rsid w:val="001807CD"/>
    <w:rsid w:val="0018096D"/>
    <w:rsid w:val="001809C6"/>
    <w:rsid w:val="00180BDC"/>
    <w:rsid w:val="00180E20"/>
    <w:rsid w:val="00180F70"/>
    <w:rsid w:val="00180FEC"/>
    <w:rsid w:val="0018106B"/>
    <w:rsid w:val="00181291"/>
    <w:rsid w:val="001813A7"/>
    <w:rsid w:val="00181602"/>
    <w:rsid w:val="001816BF"/>
    <w:rsid w:val="0018180D"/>
    <w:rsid w:val="00181AAA"/>
    <w:rsid w:val="00181B59"/>
    <w:rsid w:val="00181BA0"/>
    <w:rsid w:val="00181BF5"/>
    <w:rsid w:val="001821EB"/>
    <w:rsid w:val="001825D7"/>
    <w:rsid w:val="00182A72"/>
    <w:rsid w:val="00182B05"/>
    <w:rsid w:val="00182D24"/>
    <w:rsid w:val="00183172"/>
    <w:rsid w:val="001836FA"/>
    <w:rsid w:val="001837B5"/>
    <w:rsid w:val="0018392E"/>
    <w:rsid w:val="00183B0F"/>
    <w:rsid w:val="00183BB4"/>
    <w:rsid w:val="00183D32"/>
    <w:rsid w:val="00183D88"/>
    <w:rsid w:val="001841C8"/>
    <w:rsid w:val="001847EC"/>
    <w:rsid w:val="00184CE2"/>
    <w:rsid w:val="00184EFC"/>
    <w:rsid w:val="00184FC2"/>
    <w:rsid w:val="001852BA"/>
    <w:rsid w:val="0018536B"/>
    <w:rsid w:val="00185441"/>
    <w:rsid w:val="0018547F"/>
    <w:rsid w:val="001854D2"/>
    <w:rsid w:val="00185632"/>
    <w:rsid w:val="00185896"/>
    <w:rsid w:val="00185D93"/>
    <w:rsid w:val="001862EF"/>
    <w:rsid w:val="00186614"/>
    <w:rsid w:val="00186634"/>
    <w:rsid w:val="0018672C"/>
    <w:rsid w:val="00186960"/>
    <w:rsid w:val="00186BF8"/>
    <w:rsid w:val="00186C6B"/>
    <w:rsid w:val="001870A4"/>
    <w:rsid w:val="001870F1"/>
    <w:rsid w:val="0018718C"/>
    <w:rsid w:val="00187419"/>
    <w:rsid w:val="00187AB0"/>
    <w:rsid w:val="00187C3E"/>
    <w:rsid w:val="00187D69"/>
    <w:rsid w:val="00190075"/>
    <w:rsid w:val="001900E8"/>
    <w:rsid w:val="00190497"/>
    <w:rsid w:val="00190CCE"/>
    <w:rsid w:val="00190D00"/>
    <w:rsid w:val="00190EC9"/>
    <w:rsid w:val="00190ECF"/>
    <w:rsid w:val="00190F2A"/>
    <w:rsid w:val="001910E0"/>
    <w:rsid w:val="001911A2"/>
    <w:rsid w:val="0019162B"/>
    <w:rsid w:val="00191695"/>
    <w:rsid w:val="00191A62"/>
    <w:rsid w:val="00191D8F"/>
    <w:rsid w:val="00191E11"/>
    <w:rsid w:val="00192295"/>
    <w:rsid w:val="001922A1"/>
    <w:rsid w:val="001923DD"/>
    <w:rsid w:val="00192531"/>
    <w:rsid w:val="00192965"/>
    <w:rsid w:val="00192ED4"/>
    <w:rsid w:val="00192F51"/>
    <w:rsid w:val="001933A8"/>
    <w:rsid w:val="001934C8"/>
    <w:rsid w:val="00193A83"/>
    <w:rsid w:val="0019415B"/>
    <w:rsid w:val="0019470E"/>
    <w:rsid w:val="0019479A"/>
    <w:rsid w:val="001949A0"/>
    <w:rsid w:val="00194BC7"/>
    <w:rsid w:val="00194C04"/>
    <w:rsid w:val="00194DF4"/>
    <w:rsid w:val="001950B9"/>
    <w:rsid w:val="00195107"/>
    <w:rsid w:val="0019535E"/>
    <w:rsid w:val="001953E3"/>
    <w:rsid w:val="0019546F"/>
    <w:rsid w:val="0019547E"/>
    <w:rsid w:val="0019586D"/>
    <w:rsid w:val="001959A7"/>
    <w:rsid w:val="00195A6E"/>
    <w:rsid w:val="00195FAA"/>
    <w:rsid w:val="00195FE2"/>
    <w:rsid w:val="00196197"/>
    <w:rsid w:val="001963AF"/>
    <w:rsid w:val="00196640"/>
    <w:rsid w:val="001968B3"/>
    <w:rsid w:val="00196AF5"/>
    <w:rsid w:val="00196CC6"/>
    <w:rsid w:val="00196D2E"/>
    <w:rsid w:val="00197505"/>
    <w:rsid w:val="001976D8"/>
    <w:rsid w:val="001977CD"/>
    <w:rsid w:val="00197ADD"/>
    <w:rsid w:val="00197B5B"/>
    <w:rsid w:val="00197B74"/>
    <w:rsid w:val="00197D34"/>
    <w:rsid w:val="001A00A0"/>
    <w:rsid w:val="001A0182"/>
    <w:rsid w:val="001A0584"/>
    <w:rsid w:val="001A06BF"/>
    <w:rsid w:val="001A073B"/>
    <w:rsid w:val="001A09ED"/>
    <w:rsid w:val="001A0DD9"/>
    <w:rsid w:val="001A1047"/>
    <w:rsid w:val="001A10A4"/>
    <w:rsid w:val="001A1183"/>
    <w:rsid w:val="001A11A3"/>
    <w:rsid w:val="001A1336"/>
    <w:rsid w:val="001A14C0"/>
    <w:rsid w:val="001A1B68"/>
    <w:rsid w:val="001A1DEF"/>
    <w:rsid w:val="001A231E"/>
    <w:rsid w:val="001A23A0"/>
    <w:rsid w:val="001A23AC"/>
    <w:rsid w:val="001A2B09"/>
    <w:rsid w:val="001A2E57"/>
    <w:rsid w:val="001A3220"/>
    <w:rsid w:val="001A3259"/>
    <w:rsid w:val="001A3394"/>
    <w:rsid w:val="001A3610"/>
    <w:rsid w:val="001A3654"/>
    <w:rsid w:val="001A3B41"/>
    <w:rsid w:val="001A3BB7"/>
    <w:rsid w:val="001A4060"/>
    <w:rsid w:val="001A40ED"/>
    <w:rsid w:val="001A425E"/>
    <w:rsid w:val="001A43E0"/>
    <w:rsid w:val="001A4410"/>
    <w:rsid w:val="001A44D7"/>
    <w:rsid w:val="001A4516"/>
    <w:rsid w:val="001A48EA"/>
    <w:rsid w:val="001A4B06"/>
    <w:rsid w:val="001A4C34"/>
    <w:rsid w:val="001A4F87"/>
    <w:rsid w:val="001A4FE5"/>
    <w:rsid w:val="001A5049"/>
    <w:rsid w:val="001A518F"/>
    <w:rsid w:val="001A5291"/>
    <w:rsid w:val="001A56EA"/>
    <w:rsid w:val="001A5766"/>
    <w:rsid w:val="001A596A"/>
    <w:rsid w:val="001A59ED"/>
    <w:rsid w:val="001A5AF4"/>
    <w:rsid w:val="001A5B87"/>
    <w:rsid w:val="001A5C32"/>
    <w:rsid w:val="001A5F0C"/>
    <w:rsid w:val="001A6B02"/>
    <w:rsid w:val="001A6CEE"/>
    <w:rsid w:val="001A6D93"/>
    <w:rsid w:val="001A70A8"/>
    <w:rsid w:val="001A75C9"/>
    <w:rsid w:val="001A7689"/>
    <w:rsid w:val="001A77BB"/>
    <w:rsid w:val="001A7848"/>
    <w:rsid w:val="001A785D"/>
    <w:rsid w:val="001A78D2"/>
    <w:rsid w:val="001A7904"/>
    <w:rsid w:val="001A7A95"/>
    <w:rsid w:val="001A7C02"/>
    <w:rsid w:val="001A7C7C"/>
    <w:rsid w:val="001B051B"/>
    <w:rsid w:val="001B06EB"/>
    <w:rsid w:val="001B08C3"/>
    <w:rsid w:val="001B0F69"/>
    <w:rsid w:val="001B1012"/>
    <w:rsid w:val="001B107B"/>
    <w:rsid w:val="001B10AD"/>
    <w:rsid w:val="001B1128"/>
    <w:rsid w:val="001B1539"/>
    <w:rsid w:val="001B1637"/>
    <w:rsid w:val="001B17CF"/>
    <w:rsid w:val="001B1FD6"/>
    <w:rsid w:val="001B23D3"/>
    <w:rsid w:val="001B24A0"/>
    <w:rsid w:val="001B266B"/>
    <w:rsid w:val="001B27AF"/>
    <w:rsid w:val="001B2FF0"/>
    <w:rsid w:val="001B3140"/>
    <w:rsid w:val="001B321B"/>
    <w:rsid w:val="001B3477"/>
    <w:rsid w:val="001B3594"/>
    <w:rsid w:val="001B3609"/>
    <w:rsid w:val="001B36A5"/>
    <w:rsid w:val="001B381D"/>
    <w:rsid w:val="001B386C"/>
    <w:rsid w:val="001B3C3B"/>
    <w:rsid w:val="001B3E6A"/>
    <w:rsid w:val="001B3ED2"/>
    <w:rsid w:val="001B40E9"/>
    <w:rsid w:val="001B42A2"/>
    <w:rsid w:val="001B42F7"/>
    <w:rsid w:val="001B4349"/>
    <w:rsid w:val="001B4357"/>
    <w:rsid w:val="001B4761"/>
    <w:rsid w:val="001B48A1"/>
    <w:rsid w:val="001B4BB7"/>
    <w:rsid w:val="001B4CDC"/>
    <w:rsid w:val="001B50BA"/>
    <w:rsid w:val="001B5161"/>
    <w:rsid w:val="001B5923"/>
    <w:rsid w:val="001B5A02"/>
    <w:rsid w:val="001B5BBA"/>
    <w:rsid w:val="001B5F0C"/>
    <w:rsid w:val="001B614A"/>
    <w:rsid w:val="001B6368"/>
    <w:rsid w:val="001B68F0"/>
    <w:rsid w:val="001B6CD1"/>
    <w:rsid w:val="001B6CE4"/>
    <w:rsid w:val="001B6DD4"/>
    <w:rsid w:val="001B7083"/>
    <w:rsid w:val="001B7503"/>
    <w:rsid w:val="001B7B29"/>
    <w:rsid w:val="001B7B73"/>
    <w:rsid w:val="001C0421"/>
    <w:rsid w:val="001C053E"/>
    <w:rsid w:val="001C0AC6"/>
    <w:rsid w:val="001C0C1E"/>
    <w:rsid w:val="001C0C85"/>
    <w:rsid w:val="001C0DC2"/>
    <w:rsid w:val="001C0DCD"/>
    <w:rsid w:val="001C104C"/>
    <w:rsid w:val="001C10CB"/>
    <w:rsid w:val="001C1175"/>
    <w:rsid w:val="001C1324"/>
    <w:rsid w:val="001C13EF"/>
    <w:rsid w:val="001C178A"/>
    <w:rsid w:val="001C1914"/>
    <w:rsid w:val="001C1946"/>
    <w:rsid w:val="001C195D"/>
    <w:rsid w:val="001C1AF0"/>
    <w:rsid w:val="001C1CA6"/>
    <w:rsid w:val="001C1E81"/>
    <w:rsid w:val="001C23E0"/>
    <w:rsid w:val="001C2431"/>
    <w:rsid w:val="001C2589"/>
    <w:rsid w:val="001C26D1"/>
    <w:rsid w:val="001C28CF"/>
    <w:rsid w:val="001C299C"/>
    <w:rsid w:val="001C2D6A"/>
    <w:rsid w:val="001C2F33"/>
    <w:rsid w:val="001C3345"/>
    <w:rsid w:val="001C3524"/>
    <w:rsid w:val="001C3664"/>
    <w:rsid w:val="001C36C2"/>
    <w:rsid w:val="001C3A7C"/>
    <w:rsid w:val="001C3C45"/>
    <w:rsid w:val="001C3F8B"/>
    <w:rsid w:val="001C3FD0"/>
    <w:rsid w:val="001C4121"/>
    <w:rsid w:val="001C413B"/>
    <w:rsid w:val="001C4338"/>
    <w:rsid w:val="001C44AE"/>
    <w:rsid w:val="001C4508"/>
    <w:rsid w:val="001C4811"/>
    <w:rsid w:val="001C48BE"/>
    <w:rsid w:val="001C48E2"/>
    <w:rsid w:val="001C4AE1"/>
    <w:rsid w:val="001C4BA9"/>
    <w:rsid w:val="001C4D22"/>
    <w:rsid w:val="001C522E"/>
    <w:rsid w:val="001C5AF8"/>
    <w:rsid w:val="001C5B86"/>
    <w:rsid w:val="001C5D81"/>
    <w:rsid w:val="001C5DC7"/>
    <w:rsid w:val="001C5F2B"/>
    <w:rsid w:val="001C6116"/>
    <w:rsid w:val="001C61D5"/>
    <w:rsid w:val="001C633E"/>
    <w:rsid w:val="001C647F"/>
    <w:rsid w:val="001C6628"/>
    <w:rsid w:val="001C668D"/>
    <w:rsid w:val="001C69E3"/>
    <w:rsid w:val="001C6A59"/>
    <w:rsid w:val="001C6C46"/>
    <w:rsid w:val="001C6E9B"/>
    <w:rsid w:val="001C7031"/>
    <w:rsid w:val="001C7096"/>
    <w:rsid w:val="001C7283"/>
    <w:rsid w:val="001C7734"/>
    <w:rsid w:val="001C7757"/>
    <w:rsid w:val="001C7968"/>
    <w:rsid w:val="001C7BDE"/>
    <w:rsid w:val="001C7E3B"/>
    <w:rsid w:val="001C7F93"/>
    <w:rsid w:val="001D0EB2"/>
    <w:rsid w:val="001D1044"/>
    <w:rsid w:val="001D120A"/>
    <w:rsid w:val="001D1D25"/>
    <w:rsid w:val="001D1E4C"/>
    <w:rsid w:val="001D1FF4"/>
    <w:rsid w:val="001D202D"/>
    <w:rsid w:val="001D236D"/>
    <w:rsid w:val="001D2380"/>
    <w:rsid w:val="001D241A"/>
    <w:rsid w:val="001D2601"/>
    <w:rsid w:val="001D27CE"/>
    <w:rsid w:val="001D29D0"/>
    <w:rsid w:val="001D2F02"/>
    <w:rsid w:val="001D30B8"/>
    <w:rsid w:val="001D3372"/>
    <w:rsid w:val="001D3526"/>
    <w:rsid w:val="001D3634"/>
    <w:rsid w:val="001D3BC5"/>
    <w:rsid w:val="001D3C91"/>
    <w:rsid w:val="001D3EE8"/>
    <w:rsid w:val="001D40BE"/>
    <w:rsid w:val="001D40EB"/>
    <w:rsid w:val="001D41FA"/>
    <w:rsid w:val="001D4A59"/>
    <w:rsid w:val="001D4A6B"/>
    <w:rsid w:val="001D4AB2"/>
    <w:rsid w:val="001D4B01"/>
    <w:rsid w:val="001D4B4B"/>
    <w:rsid w:val="001D4C7E"/>
    <w:rsid w:val="001D5256"/>
    <w:rsid w:val="001D533D"/>
    <w:rsid w:val="001D57D7"/>
    <w:rsid w:val="001D5ABF"/>
    <w:rsid w:val="001D5E84"/>
    <w:rsid w:val="001D61B0"/>
    <w:rsid w:val="001D64FB"/>
    <w:rsid w:val="001D65F5"/>
    <w:rsid w:val="001D66E2"/>
    <w:rsid w:val="001D6B86"/>
    <w:rsid w:val="001D6C85"/>
    <w:rsid w:val="001D72AF"/>
    <w:rsid w:val="001D74A1"/>
    <w:rsid w:val="001D753C"/>
    <w:rsid w:val="001D7559"/>
    <w:rsid w:val="001D7817"/>
    <w:rsid w:val="001D796A"/>
    <w:rsid w:val="001D7B46"/>
    <w:rsid w:val="001D7E0C"/>
    <w:rsid w:val="001D7E99"/>
    <w:rsid w:val="001D7F69"/>
    <w:rsid w:val="001E038D"/>
    <w:rsid w:val="001E0EA4"/>
    <w:rsid w:val="001E12DB"/>
    <w:rsid w:val="001E13A6"/>
    <w:rsid w:val="001E16C7"/>
    <w:rsid w:val="001E1752"/>
    <w:rsid w:val="001E18BA"/>
    <w:rsid w:val="001E1A23"/>
    <w:rsid w:val="001E1ACB"/>
    <w:rsid w:val="001E1BB3"/>
    <w:rsid w:val="001E1C82"/>
    <w:rsid w:val="001E1DAA"/>
    <w:rsid w:val="001E1E29"/>
    <w:rsid w:val="001E1E4E"/>
    <w:rsid w:val="001E20CC"/>
    <w:rsid w:val="001E240D"/>
    <w:rsid w:val="001E2843"/>
    <w:rsid w:val="001E2B98"/>
    <w:rsid w:val="001E34C4"/>
    <w:rsid w:val="001E35D7"/>
    <w:rsid w:val="001E37C9"/>
    <w:rsid w:val="001E3A67"/>
    <w:rsid w:val="001E3C24"/>
    <w:rsid w:val="001E3CFC"/>
    <w:rsid w:val="001E3D59"/>
    <w:rsid w:val="001E3E0D"/>
    <w:rsid w:val="001E40F7"/>
    <w:rsid w:val="001E434B"/>
    <w:rsid w:val="001E4385"/>
    <w:rsid w:val="001E44AB"/>
    <w:rsid w:val="001E4748"/>
    <w:rsid w:val="001E483C"/>
    <w:rsid w:val="001E4FBB"/>
    <w:rsid w:val="001E50AA"/>
    <w:rsid w:val="001E50D1"/>
    <w:rsid w:val="001E564B"/>
    <w:rsid w:val="001E62C8"/>
    <w:rsid w:val="001E64BF"/>
    <w:rsid w:val="001E66B4"/>
    <w:rsid w:val="001E6810"/>
    <w:rsid w:val="001E6A3F"/>
    <w:rsid w:val="001E6A6A"/>
    <w:rsid w:val="001E7228"/>
    <w:rsid w:val="001E72C8"/>
    <w:rsid w:val="001E74C0"/>
    <w:rsid w:val="001E75B8"/>
    <w:rsid w:val="001E76BC"/>
    <w:rsid w:val="001E7EA9"/>
    <w:rsid w:val="001E7EEA"/>
    <w:rsid w:val="001F0098"/>
    <w:rsid w:val="001F0129"/>
    <w:rsid w:val="001F0242"/>
    <w:rsid w:val="001F03A0"/>
    <w:rsid w:val="001F07A4"/>
    <w:rsid w:val="001F095A"/>
    <w:rsid w:val="001F0BF6"/>
    <w:rsid w:val="001F0D9E"/>
    <w:rsid w:val="001F0DF4"/>
    <w:rsid w:val="001F0E51"/>
    <w:rsid w:val="001F0EB9"/>
    <w:rsid w:val="001F0FD6"/>
    <w:rsid w:val="001F115E"/>
    <w:rsid w:val="001F16FE"/>
    <w:rsid w:val="001F1758"/>
    <w:rsid w:val="001F1B08"/>
    <w:rsid w:val="001F1D47"/>
    <w:rsid w:val="001F1DE9"/>
    <w:rsid w:val="001F1F57"/>
    <w:rsid w:val="001F1F69"/>
    <w:rsid w:val="001F1FCE"/>
    <w:rsid w:val="001F2082"/>
    <w:rsid w:val="001F26B7"/>
    <w:rsid w:val="001F2805"/>
    <w:rsid w:val="001F281E"/>
    <w:rsid w:val="001F31E7"/>
    <w:rsid w:val="001F34EF"/>
    <w:rsid w:val="001F3685"/>
    <w:rsid w:val="001F37F4"/>
    <w:rsid w:val="001F3A4C"/>
    <w:rsid w:val="001F3C1F"/>
    <w:rsid w:val="001F3C61"/>
    <w:rsid w:val="001F3CD4"/>
    <w:rsid w:val="001F3CF2"/>
    <w:rsid w:val="001F3D12"/>
    <w:rsid w:val="001F3DD1"/>
    <w:rsid w:val="001F3F38"/>
    <w:rsid w:val="001F3FA4"/>
    <w:rsid w:val="001F3FEE"/>
    <w:rsid w:val="001F42E4"/>
    <w:rsid w:val="001F4471"/>
    <w:rsid w:val="001F4544"/>
    <w:rsid w:val="001F45AE"/>
    <w:rsid w:val="001F4677"/>
    <w:rsid w:val="001F4979"/>
    <w:rsid w:val="001F4AF7"/>
    <w:rsid w:val="001F4C83"/>
    <w:rsid w:val="001F4E2A"/>
    <w:rsid w:val="001F4E4A"/>
    <w:rsid w:val="001F4ED5"/>
    <w:rsid w:val="001F540F"/>
    <w:rsid w:val="001F56E8"/>
    <w:rsid w:val="001F56F9"/>
    <w:rsid w:val="001F5740"/>
    <w:rsid w:val="001F599D"/>
    <w:rsid w:val="001F5A18"/>
    <w:rsid w:val="001F6671"/>
    <w:rsid w:val="001F6783"/>
    <w:rsid w:val="001F6984"/>
    <w:rsid w:val="001F6EB7"/>
    <w:rsid w:val="001F712F"/>
    <w:rsid w:val="001F7366"/>
    <w:rsid w:val="001F7604"/>
    <w:rsid w:val="001F77D0"/>
    <w:rsid w:val="001F7846"/>
    <w:rsid w:val="001F7CFB"/>
    <w:rsid w:val="001F7D63"/>
    <w:rsid w:val="001F7EEC"/>
    <w:rsid w:val="0020043C"/>
    <w:rsid w:val="00200A6D"/>
    <w:rsid w:val="00200B2C"/>
    <w:rsid w:val="00200C8D"/>
    <w:rsid w:val="002016FF"/>
    <w:rsid w:val="002017B7"/>
    <w:rsid w:val="00201A2B"/>
    <w:rsid w:val="00201ACB"/>
    <w:rsid w:val="00201BD5"/>
    <w:rsid w:val="00201FBF"/>
    <w:rsid w:val="002020BE"/>
    <w:rsid w:val="00202339"/>
    <w:rsid w:val="0020241B"/>
    <w:rsid w:val="00202AA4"/>
    <w:rsid w:val="00202B14"/>
    <w:rsid w:val="00202BEA"/>
    <w:rsid w:val="00202C9D"/>
    <w:rsid w:val="00202FC3"/>
    <w:rsid w:val="002032B6"/>
    <w:rsid w:val="002035AA"/>
    <w:rsid w:val="00203615"/>
    <w:rsid w:val="00203A39"/>
    <w:rsid w:val="00203D83"/>
    <w:rsid w:val="00204071"/>
    <w:rsid w:val="002044C2"/>
    <w:rsid w:val="00204575"/>
    <w:rsid w:val="0020493B"/>
    <w:rsid w:val="00204C3B"/>
    <w:rsid w:val="00204E6D"/>
    <w:rsid w:val="00204F03"/>
    <w:rsid w:val="002050C3"/>
    <w:rsid w:val="002052DC"/>
    <w:rsid w:val="00205352"/>
    <w:rsid w:val="00205439"/>
    <w:rsid w:val="0020564C"/>
    <w:rsid w:val="002058EC"/>
    <w:rsid w:val="00205AD3"/>
    <w:rsid w:val="00205E1D"/>
    <w:rsid w:val="00205E4C"/>
    <w:rsid w:val="00205F6C"/>
    <w:rsid w:val="002063ED"/>
    <w:rsid w:val="00206641"/>
    <w:rsid w:val="002069FD"/>
    <w:rsid w:val="00206A91"/>
    <w:rsid w:val="00206CAD"/>
    <w:rsid w:val="00206DB0"/>
    <w:rsid w:val="00207803"/>
    <w:rsid w:val="00207B45"/>
    <w:rsid w:val="00207BAE"/>
    <w:rsid w:val="00207DFE"/>
    <w:rsid w:val="002103C8"/>
    <w:rsid w:val="0021069D"/>
    <w:rsid w:val="00210A2C"/>
    <w:rsid w:val="00210AB5"/>
    <w:rsid w:val="0021109E"/>
    <w:rsid w:val="00211141"/>
    <w:rsid w:val="002118AC"/>
    <w:rsid w:val="00211A3E"/>
    <w:rsid w:val="00211AA9"/>
    <w:rsid w:val="00211BE6"/>
    <w:rsid w:val="00211FEE"/>
    <w:rsid w:val="002120EE"/>
    <w:rsid w:val="00212305"/>
    <w:rsid w:val="00212704"/>
    <w:rsid w:val="0021284A"/>
    <w:rsid w:val="002129D1"/>
    <w:rsid w:val="00212A9F"/>
    <w:rsid w:val="00212D07"/>
    <w:rsid w:val="00212DEB"/>
    <w:rsid w:val="00212E5C"/>
    <w:rsid w:val="0021308F"/>
    <w:rsid w:val="00213219"/>
    <w:rsid w:val="002133FD"/>
    <w:rsid w:val="00213441"/>
    <w:rsid w:val="002139C1"/>
    <w:rsid w:val="00213A20"/>
    <w:rsid w:val="00213B57"/>
    <w:rsid w:val="00213C00"/>
    <w:rsid w:val="00213EBA"/>
    <w:rsid w:val="002142D5"/>
    <w:rsid w:val="002145E6"/>
    <w:rsid w:val="00214644"/>
    <w:rsid w:val="00214A71"/>
    <w:rsid w:val="00214BE8"/>
    <w:rsid w:val="00214C3D"/>
    <w:rsid w:val="00214F46"/>
    <w:rsid w:val="0021527F"/>
    <w:rsid w:val="0021533C"/>
    <w:rsid w:val="00215386"/>
    <w:rsid w:val="002158E6"/>
    <w:rsid w:val="00215A38"/>
    <w:rsid w:val="00215CEE"/>
    <w:rsid w:val="00215D1A"/>
    <w:rsid w:val="00215FC8"/>
    <w:rsid w:val="00216082"/>
    <w:rsid w:val="0021640B"/>
    <w:rsid w:val="0021650A"/>
    <w:rsid w:val="002165BD"/>
    <w:rsid w:val="0021661F"/>
    <w:rsid w:val="00216628"/>
    <w:rsid w:val="002168C1"/>
    <w:rsid w:val="002169CB"/>
    <w:rsid w:val="00216C80"/>
    <w:rsid w:val="00217230"/>
    <w:rsid w:val="0021767E"/>
    <w:rsid w:val="002179B4"/>
    <w:rsid w:val="00217A34"/>
    <w:rsid w:val="00217AFE"/>
    <w:rsid w:val="00217B98"/>
    <w:rsid w:val="00217C92"/>
    <w:rsid w:val="00217D81"/>
    <w:rsid w:val="00217E84"/>
    <w:rsid w:val="00220018"/>
    <w:rsid w:val="002200D7"/>
    <w:rsid w:val="002201B7"/>
    <w:rsid w:val="002206F1"/>
    <w:rsid w:val="00220965"/>
    <w:rsid w:val="00220A0B"/>
    <w:rsid w:val="00220C2F"/>
    <w:rsid w:val="00220D5B"/>
    <w:rsid w:val="00220D95"/>
    <w:rsid w:val="00220EB6"/>
    <w:rsid w:val="00221311"/>
    <w:rsid w:val="002216F5"/>
    <w:rsid w:val="00221A3F"/>
    <w:rsid w:val="00221A95"/>
    <w:rsid w:val="00221B32"/>
    <w:rsid w:val="002225AD"/>
    <w:rsid w:val="0022262E"/>
    <w:rsid w:val="0022298A"/>
    <w:rsid w:val="00222A77"/>
    <w:rsid w:val="00222E5E"/>
    <w:rsid w:val="002231A7"/>
    <w:rsid w:val="002234EC"/>
    <w:rsid w:val="0022389C"/>
    <w:rsid w:val="002239BA"/>
    <w:rsid w:val="00223B72"/>
    <w:rsid w:val="00223CF8"/>
    <w:rsid w:val="00224270"/>
    <w:rsid w:val="002245C4"/>
    <w:rsid w:val="00224689"/>
    <w:rsid w:val="002248A3"/>
    <w:rsid w:val="00224A18"/>
    <w:rsid w:val="00224A2A"/>
    <w:rsid w:val="00224FDA"/>
    <w:rsid w:val="002250A0"/>
    <w:rsid w:val="0022531B"/>
    <w:rsid w:val="0022593A"/>
    <w:rsid w:val="00225B99"/>
    <w:rsid w:val="00225DF4"/>
    <w:rsid w:val="00225F51"/>
    <w:rsid w:val="00226352"/>
    <w:rsid w:val="002266C2"/>
    <w:rsid w:val="002266DC"/>
    <w:rsid w:val="0022672F"/>
    <w:rsid w:val="002269E6"/>
    <w:rsid w:val="00226E19"/>
    <w:rsid w:val="00227371"/>
    <w:rsid w:val="00227429"/>
    <w:rsid w:val="0022753E"/>
    <w:rsid w:val="002278CB"/>
    <w:rsid w:val="00227A66"/>
    <w:rsid w:val="00227B8F"/>
    <w:rsid w:val="00230019"/>
    <w:rsid w:val="002303BF"/>
    <w:rsid w:val="00230989"/>
    <w:rsid w:val="00230DD2"/>
    <w:rsid w:val="00230F32"/>
    <w:rsid w:val="00230F7F"/>
    <w:rsid w:val="002312D6"/>
    <w:rsid w:val="002313F3"/>
    <w:rsid w:val="002314E9"/>
    <w:rsid w:val="002317B7"/>
    <w:rsid w:val="00231B8B"/>
    <w:rsid w:val="00231FCC"/>
    <w:rsid w:val="00231FFD"/>
    <w:rsid w:val="002320B4"/>
    <w:rsid w:val="002322FE"/>
    <w:rsid w:val="0023239C"/>
    <w:rsid w:val="002325CA"/>
    <w:rsid w:val="00232A88"/>
    <w:rsid w:val="00232B84"/>
    <w:rsid w:val="0023357C"/>
    <w:rsid w:val="00233959"/>
    <w:rsid w:val="00233B46"/>
    <w:rsid w:val="00233BEF"/>
    <w:rsid w:val="00233D8C"/>
    <w:rsid w:val="00233E00"/>
    <w:rsid w:val="00233F4E"/>
    <w:rsid w:val="00234035"/>
    <w:rsid w:val="002344C7"/>
    <w:rsid w:val="00234713"/>
    <w:rsid w:val="002348E3"/>
    <w:rsid w:val="00234B64"/>
    <w:rsid w:val="00234E38"/>
    <w:rsid w:val="00235202"/>
    <w:rsid w:val="0023593D"/>
    <w:rsid w:val="002359C4"/>
    <w:rsid w:val="00235C70"/>
    <w:rsid w:val="00235D0A"/>
    <w:rsid w:val="002360AD"/>
    <w:rsid w:val="002367D5"/>
    <w:rsid w:val="00236876"/>
    <w:rsid w:val="00236D68"/>
    <w:rsid w:val="00236F8D"/>
    <w:rsid w:val="0023730D"/>
    <w:rsid w:val="00237509"/>
    <w:rsid w:val="00237760"/>
    <w:rsid w:val="00237B7D"/>
    <w:rsid w:val="002401F0"/>
    <w:rsid w:val="002404C0"/>
    <w:rsid w:val="00240ADE"/>
    <w:rsid w:val="00240B53"/>
    <w:rsid w:val="00240D88"/>
    <w:rsid w:val="0024103F"/>
    <w:rsid w:val="00241235"/>
    <w:rsid w:val="0024135B"/>
    <w:rsid w:val="0024195E"/>
    <w:rsid w:val="002419BF"/>
    <w:rsid w:val="00241BE2"/>
    <w:rsid w:val="00241D21"/>
    <w:rsid w:val="0024206B"/>
    <w:rsid w:val="002421FB"/>
    <w:rsid w:val="00242498"/>
    <w:rsid w:val="002426D5"/>
    <w:rsid w:val="0024273A"/>
    <w:rsid w:val="0024277E"/>
    <w:rsid w:val="0024280E"/>
    <w:rsid w:val="00242867"/>
    <w:rsid w:val="002429BF"/>
    <w:rsid w:val="00242AC5"/>
    <w:rsid w:val="00242BDA"/>
    <w:rsid w:val="00242CBA"/>
    <w:rsid w:val="00242D81"/>
    <w:rsid w:val="00242E4A"/>
    <w:rsid w:val="00242FE3"/>
    <w:rsid w:val="002431D2"/>
    <w:rsid w:val="00243577"/>
    <w:rsid w:val="00243DCB"/>
    <w:rsid w:val="00244106"/>
    <w:rsid w:val="00244728"/>
    <w:rsid w:val="00244D25"/>
    <w:rsid w:val="0024526E"/>
    <w:rsid w:val="00245407"/>
    <w:rsid w:val="0024545C"/>
    <w:rsid w:val="0024546B"/>
    <w:rsid w:val="002454DB"/>
    <w:rsid w:val="00245572"/>
    <w:rsid w:val="0024569F"/>
    <w:rsid w:val="002456EB"/>
    <w:rsid w:val="0024588C"/>
    <w:rsid w:val="00245950"/>
    <w:rsid w:val="00245C06"/>
    <w:rsid w:val="00245C97"/>
    <w:rsid w:val="0024629A"/>
    <w:rsid w:val="002463FB"/>
    <w:rsid w:val="00246832"/>
    <w:rsid w:val="00246A3B"/>
    <w:rsid w:val="00246F51"/>
    <w:rsid w:val="00246FA6"/>
    <w:rsid w:val="002470AF"/>
    <w:rsid w:val="002472CE"/>
    <w:rsid w:val="00247482"/>
    <w:rsid w:val="002475C3"/>
    <w:rsid w:val="00247641"/>
    <w:rsid w:val="002478F4"/>
    <w:rsid w:val="00247F09"/>
    <w:rsid w:val="00247FBE"/>
    <w:rsid w:val="002504DD"/>
    <w:rsid w:val="00250944"/>
    <w:rsid w:val="00250981"/>
    <w:rsid w:val="00250E0F"/>
    <w:rsid w:val="00250F8F"/>
    <w:rsid w:val="00250FBF"/>
    <w:rsid w:val="0025129D"/>
    <w:rsid w:val="002513F7"/>
    <w:rsid w:val="00251A40"/>
    <w:rsid w:val="00251C69"/>
    <w:rsid w:val="00251DD8"/>
    <w:rsid w:val="0025208F"/>
    <w:rsid w:val="002521D3"/>
    <w:rsid w:val="002525EA"/>
    <w:rsid w:val="00252906"/>
    <w:rsid w:val="00252B4F"/>
    <w:rsid w:val="00252C29"/>
    <w:rsid w:val="00253032"/>
    <w:rsid w:val="0025304C"/>
    <w:rsid w:val="00253113"/>
    <w:rsid w:val="0025324A"/>
    <w:rsid w:val="0025337B"/>
    <w:rsid w:val="002533C2"/>
    <w:rsid w:val="0025348F"/>
    <w:rsid w:val="002534CE"/>
    <w:rsid w:val="002536A9"/>
    <w:rsid w:val="002536AB"/>
    <w:rsid w:val="002537AD"/>
    <w:rsid w:val="00253B09"/>
    <w:rsid w:val="00253B12"/>
    <w:rsid w:val="00253C60"/>
    <w:rsid w:val="002543CD"/>
    <w:rsid w:val="00254421"/>
    <w:rsid w:val="002545B6"/>
    <w:rsid w:val="00254AF1"/>
    <w:rsid w:val="00254E34"/>
    <w:rsid w:val="002553DB"/>
    <w:rsid w:val="002559BB"/>
    <w:rsid w:val="00255BD8"/>
    <w:rsid w:val="00255D44"/>
    <w:rsid w:val="00255D56"/>
    <w:rsid w:val="00255E7B"/>
    <w:rsid w:val="00255F03"/>
    <w:rsid w:val="00255F63"/>
    <w:rsid w:val="00256041"/>
    <w:rsid w:val="002562EA"/>
    <w:rsid w:val="002565D4"/>
    <w:rsid w:val="002566D3"/>
    <w:rsid w:val="002568A1"/>
    <w:rsid w:val="00256D32"/>
    <w:rsid w:val="00256F65"/>
    <w:rsid w:val="00256FFD"/>
    <w:rsid w:val="00257089"/>
    <w:rsid w:val="0025709B"/>
    <w:rsid w:val="00257212"/>
    <w:rsid w:val="00257439"/>
    <w:rsid w:val="00257952"/>
    <w:rsid w:val="0025795A"/>
    <w:rsid w:val="00257AA6"/>
    <w:rsid w:val="00257B92"/>
    <w:rsid w:val="00257C48"/>
    <w:rsid w:val="00257E79"/>
    <w:rsid w:val="00260116"/>
    <w:rsid w:val="00260171"/>
    <w:rsid w:val="00260212"/>
    <w:rsid w:val="002603C4"/>
    <w:rsid w:val="0026089B"/>
    <w:rsid w:val="00260D65"/>
    <w:rsid w:val="00260E38"/>
    <w:rsid w:val="00260EF3"/>
    <w:rsid w:val="002610A5"/>
    <w:rsid w:val="00261401"/>
    <w:rsid w:val="002617B4"/>
    <w:rsid w:val="00261CAA"/>
    <w:rsid w:val="00261D3A"/>
    <w:rsid w:val="00261F86"/>
    <w:rsid w:val="002622BB"/>
    <w:rsid w:val="002624B3"/>
    <w:rsid w:val="002624E1"/>
    <w:rsid w:val="00262512"/>
    <w:rsid w:val="002627A3"/>
    <w:rsid w:val="0026286A"/>
    <w:rsid w:val="0026297F"/>
    <w:rsid w:val="00262B54"/>
    <w:rsid w:val="00262C2B"/>
    <w:rsid w:val="0026301E"/>
    <w:rsid w:val="00263108"/>
    <w:rsid w:val="002633F2"/>
    <w:rsid w:val="002634DC"/>
    <w:rsid w:val="00263977"/>
    <w:rsid w:val="00263BE5"/>
    <w:rsid w:val="00263E6F"/>
    <w:rsid w:val="00263ECC"/>
    <w:rsid w:val="00263FE1"/>
    <w:rsid w:val="00264047"/>
    <w:rsid w:val="0026444B"/>
    <w:rsid w:val="002644F0"/>
    <w:rsid w:val="00264605"/>
    <w:rsid w:val="00264AFA"/>
    <w:rsid w:val="00264E39"/>
    <w:rsid w:val="00264E8D"/>
    <w:rsid w:val="00265134"/>
    <w:rsid w:val="002651BE"/>
    <w:rsid w:val="00265319"/>
    <w:rsid w:val="0026549B"/>
    <w:rsid w:val="00265783"/>
    <w:rsid w:val="00265A2E"/>
    <w:rsid w:val="00265F14"/>
    <w:rsid w:val="00266003"/>
    <w:rsid w:val="00266390"/>
    <w:rsid w:val="002668C0"/>
    <w:rsid w:val="00266C63"/>
    <w:rsid w:val="00266C8B"/>
    <w:rsid w:val="0026713C"/>
    <w:rsid w:val="0026719E"/>
    <w:rsid w:val="0026740B"/>
    <w:rsid w:val="00267600"/>
    <w:rsid w:val="0026768C"/>
    <w:rsid w:val="002677B2"/>
    <w:rsid w:val="00267834"/>
    <w:rsid w:val="00267974"/>
    <w:rsid w:val="00267CF7"/>
    <w:rsid w:val="00267DD2"/>
    <w:rsid w:val="002701E7"/>
    <w:rsid w:val="002704EA"/>
    <w:rsid w:val="00270A1D"/>
    <w:rsid w:val="00270B33"/>
    <w:rsid w:val="00270ED6"/>
    <w:rsid w:val="0027127B"/>
    <w:rsid w:val="002712C4"/>
    <w:rsid w:val="0027132C"/>
    <w:rsid w:val="00271546"/>
    <w:rsid w:val="00271588"/>
    <w:rsid w:val="0027175E"/>
    <w:rsid w:val="002717F8"/>
    <w:rsid w:val="00271AED"/>
    <w:rsid w:val="00271C97"/>
    <w:rsid w:val="00271FAF"/>
    <w:rsid w:val="00272365"/>
    <w:rsid w:val="0027236C"/>
    <w:rsid w:val="002727E3"/>
    <w:rsid w:val="00272A35"/>
    <w:rsid w:val="00272BD3"/>
    <w:rsid w:val="00272EE1"/>
    <w:rsid w:val="00272EFA"/>
    <w:rsid w:val="00273033"/>
    <w:rsid w:val="0027324D"/>
    <w:rsid w:val="002733F0"/>
    <w:rsid w:val="00273843"/>
    <w:rsid w:val="00273974"/>
    <w:rsid w:val="00273AA6"/>
    <w:rsid w:val="00273B9F"/>
    <w:rsid w:val="002742BA"/>
    <w:rsid w:val="00274378"/>
    <w:rsid w:val="002743EC"/>
    <w:rsid w:val="00274A41"/>
    <w:rsid w:val="00274AD2"/>
    <w:rsid w:val="00274BC6"/>
    <w:rsid w:val="00274FF3"/>
    <w:rsid w:val="00275637"/>
    <w:rsid w:val="00275692"/>
    <w:rsid w:val="0027583A"/>
    <w:rsid w:val="002759AD"/>
    <w:rsid w:val="00275A44"/>
    <w:rsid w:val="00275B2B"/>
    <w:rsid w:val="00275C90"/>
    <w:rsid w:val="00275D25"/>
    <w:rsid w:val="00276105"/>
    <w:rsid w:val="0027628C"/>
    <w:rsid w:val="0027640F"/>
    <w:rsid w:val="0027670C"/>
    <w:rsid w:val="00276D31"/>
    <w:rsid w:val="00276D47"/>
    <w:rsid w:val="00276D4C"/>
    <w:rsid w:val="00276F57"/>
    <w:rsid w:val="002771D7"/>
    <w:rsid w:val="00277313"/>
    <w:rsid w:val="00277A8A"/>
    <w:rsid w:val="00277C4D"/>
    <w:rsid w:val="00277C6B"/>
    <w:rsid w:val="00277DDD"/>
    <w:rsid w:val="00277E1E"/>
    <w:rsid w:val="00277F34"/>
    <w:rsid w:val="00277F44"/>
    <w:rsid w:val="00280126"/>
    <w:rsid w:val="00280312"/>
    <w:rsid w:val="0028038F"/>
    <w:rsid w:val="00280479"/>
    <w:rsid w:val="00280575"/>
    <w:rsid w:val="00280857"/>
    <w:rsid w:val="00280868"/>
    <w:rsid w:val="00280890"/>
    <w:rsid w:val="00280C86"/>
    <w:rsid w:val="00280CAF"/>
    <w:rsid w:val="002810D4"/>
    <w:rsid w:val="002811F6"/>
    <w:rsid w:val="00281401"/>
    <w:rsid w:val="002815D6"/>
    <w:rsid w:val="002819CC"/>
    <w:rsid w:val="00281C01"/>
    <w:rsid w:val="00281DBB"/>
    <w:rsid w:val="00281EB7"/>
    <w:rsid w:val="0028217F"/>
    <w:rsid w:val="0028229D"/>
    <w:rsid w:val="002822B8"/>
    <w:rsid w:val="00282406"/>
    <w:rsid w:val="00282727"/>
    <w:rsid w:val="00282F4C"/>
    <w:rsid w:val="00282F73"/>
    <w:rsid w:val="00283087"/>
    <w:rsid w:val="00283121"/>
    <w:rsid w:val="002834F5"/>
    <w:rsid w:val="002836DF"/>
    <w:rsid w:val="002838F9"/>
    <w:rsid w:val="00283A5C"/>
    <w:rsid w:val="00283BE2"/>
    <w:rsid w:val="00283E66"/>
    <w:rsid w:val="002846A5"/>
    <w:rsid w:val="00284B38"/>
    <w:rsid w:val="00284CEE"/>
    <w:rsid w:val="00284E7C"/>
    <w:rsid w:val="00285415"/>
    <w:rsid w:val="002854CA"/>
    <w:rsid w:val="0028575A"/>
    <w:rsid w:val="002858EF"/>
    <w:rsid w:val="002859E7"/>
    <w:rsid w:val="00285EF8"/>
    <w:rsid w:val="002861C4"/>
    <w:rsid w:val="00286385"/>
    <w:rsid w:val="00286452"/>
    <w:rsid w:val="002864EB"/>
    <w:rsid w:val="00286A60"/>
    <w:rsid w:val="00286CC3"/>
    <w:rsid w:val="00286D1F"/>
    <w:rsid w:val="00286EC6"/>
    <w:rsid w:val="00287053"/>
    <w:rsid w:val="0028710E"/>
    <w:rsid w:val="00287117"/>
    <w:rsid w:val="002875DD"/>
    <w:rsid w:val="00287853"/>
    <w:rsid w:val="00287D89"/>
    <w:rsid w:val="00287F0E"/>
    <w:rsid w:val="00290094"/>
    <w:rsid w:val="0029014C"/>
    <w:rsid w:val="00290694"/>
    <w:rsid w:val="00290A5F"/>
    <w:rsid w:val="00290B96"/>
    <w:rsid w:val="00290DD4"/>
    <w:rsid w:val="00290FFD"/>
    <w:rsid w:val="00291039"/>
    <w:rsid w:val="002910D3"/>
    <w:rsid w:val="00291217"/>
    <w:rsid w:val="002912A5"/>
    <w:rsid w:val="00291404"/>
    <w:rsid w:val="002915B5"/>
    <w:rsid w:val="002915E7"/>
    <w:rsid w:val="00291662"/>
    <w:rsid w:val="00291A45"/>
    <w:rsid w:val="00291A91"/>
    <w:rsid w:val="00291C1F"/>
    <w:rsid w:val="00291E8D"/>
    <w:rsid w:val="00292198"/>
    <w:rsid w:val="00292277"/>
    <w:rsid w:val="0029242A"/>
    <w:rsid w:val="002926D8"/>
    <w:rsid w:val="00292AE6"/>
    <w:rsid w:val="00292C82"/>
    <w:rsid w:val="00292DDA"/>
    <w:rsid w:val="00293022"/>
    <w:rsid w:val="00293098"/>
    <w:rsid w:val="00293554"/>
    <w:rsid w:val="002936D2"/>
    <w:rsid w:val="0029373E"/>
    <w:rsid w:val="00293AF6"/>
    <w:rsid w:val="00293EDB"/>
    <w:rsid w:val="0029411D"/>
    <w:rsid w:val="0029415C"/>
    <w:rsid w:val="002943D8"/>
    <w:rsid w:val="002947BF"/>
    <w:rsid w:val="00294964"/>
    <w:rsid w:val="00294CA8"/>
    <w:rsid w:val="00294D92"/>
    <w:rsid w:val="00294E71"/>
    <w:rsid w:val="00294FE6"/>
    <w:rsid w:val="00295017"/>
    <w:rsid w:val="0029523D"/>
    <w:rsid w:val="00295319"/>
    <w:rsid w:val="0029567B"/>
    <w:rsid w:val="002957E2"/>
    <w:rsid w:val="00295A1B"/>
    <w:rsid w:val="00295B12"/>
    <w:rsid w:val="00295B30"/>
    <w:rsid w:val="00295FF7"/>
    <w:rsid w:val="002960C2"/>
    <w:rsid w:val="00296471"/>
    <w:rsid w:val="00296592"/>
    <w:rsid w:val="002965C3"/>
    <w:rsid w:val="0029675B"/>
    <w:rsid w:val="002967E5"/>
    <w:rsid w:val="00296862"/>
    <w:rsid w:val="00296F9D"/>
    <w:rsid w:val="00296FFC"/>
    <w:rsid w:val="0029706F"/>
    <w:rsid w:val="0029717F"/>
    <w:rsid w:val="002971AE"/>
    <w:rsid w:val="002972FD"/>
    <w:rsid w:val="00297387"/>
    <w:rsid w:val="00297404"/>
    <w:rsid w:val="002A043B"/>
    <w:rsid w:val="002A04A9"/>
    <w:rsid w:val="002A05BF"/>
    <w:rsid w:val="002A0788"/>
    <w:rsid w:val="002A0820"/>
    <w:rsid w:val="002A086B"/>
    <w:rsid w:val="002A095E"/>
    <w:rsid w:val="002A09BB"/>
    <w:rsid w:val="002A0CF5"/>
    <w:rsid w:val="002A0E27"/>
    <w:rsid w:val="002A0E80"/>
    <w:rsid w:val="002A0F49"/>
    <w:rsid w:val="002A12B5"/>
    <w:rsid w:val="002A13B6"/>
    <w:rsid w:val="002A1540"/>
    <w:rsid w:val="002A1576"/>
    <w:rsid w:val="002A158E"/>
    <w:rsid w:val="002A16D8"/>
    <w:rsid w:val="002A189E"/>
    <w:rsid w:val="002A194B"/>
    <w:rsid w:val="002A19A9"/>
    <w:rsid w:val="002A1C9E"/>
    <w:rsid w:val="002A1F5C"/>
    <w:rsid w:val="002A1F7D"/>
    <w:rsid w:val="002A25C9"/>
    <w:rsid w:val="002A261C"/>
    <w:rsid w:val="002A2EA8"/>
    <w:rsid w:val="002A31B1"/>
    <w:rsid w:val="002A3AE0"/>
    <w:rsid w:val="002A3DCF"/>
    <w:rsid w:val="002A41F9"/>
    <w:rsid w:val="002A4440"/>
    <w:rsid w:val="002A45FF"/>
    <w:rsid w:val="002A473E"/>
    <w:rsid w:val="002A4A40"/>
    <w:rsid w:val="002A4AE9"/>
    <w:rsid w:val="002A4B57"/>
    <w:rsid w:val="002A4BCB"/>
    <w:rsid w:val="002A4E85"/>
    <w:rsid w:val="002A577D"/>
    <w:rsid w:val="002A578D"/>
    <w:rsid w:val="002A59FA"/>
    <w:rsid w:val="002A5A3F"/>
    <w:rsid w:val="002A5D2B"/>
    <w:rsid w:val="002A5D62"/>
    <w:rsid w:val="002A5EE5"/>
    <w:rsid w:val="002A603F"/>
    <w:rsid w:val="002A61CD"/>
    <w:rsid w:val="002A6212"/>
    <w:rsid w:val="002A6650"/>
    <w:rsid w:val="002A683D"/>
    <w:rsid w:val="002A687D"/>
    <w:rsid w:val="002A6987"/>
    <w:rsid w:val="002A6BE7"/>
    <w:rsid w:val="002A6C12"/>
    <w:rsid w:val="002A6C37"/>
    <w:rsid w:val="002A6F65"/>
    <w:rsid w:val="002A6FF2"/>
    <w:rsid w:val="002A779F"/>
    <w:rsid w:val="002A7824"/>
    <w:rsid w:val="002A7CD8"/>
    <w:rsid w:val="002A7F7A"/>
    <w:rsid w:val="002B0012"/>
    <w:rsid w:val="002B02ED"/>
    <w:rsid w:val="002B0311"/>
    <w:rsid w:val="002B0451"/>
    <w:rsid w:val="002B06A8"/>
    <w:rsid w:val="002B0821"/>
    <w:rsid w:val="002B0AB2"/>
    <w:rsid w:val="002B0B8C"/>
    <w:rsid w:val="002B0CB0"/>
    <w:rsid w:val="002B0F8C"/>
    <w:rsid w:val="002B1151"/>
    <w:rsid w:val="002B14F5"/>
    <w:rsid w:val="002B208B"/>
    <w:rsid w:val="002B2D09"/>
    <w:rsid w:val="002B3050"/>
    <w:rsid w:val="002B34E1"/>
    <w:rsid w:val="002B370F"/>
    <w:rsid w:val="002B399F"/>
    <w:rsid w:val="002B3F19"/>
    <w:rsid w:val="002B4026"/>
    <w:rsid w:val="002B4295"/>
    <w:rsid w:val="002B472B"/>
    <w:rsid w:val="002B4A15"/>
    <w:rsid w:val="002B4A54"/>
    <w:rsid w:val="002B4AC4"/>
    <w:rsid w:val="002B4AFD"/>
    <w:rsid w:val="002B4BC3"/>
    <w:rsid w:val="002B541A"/>
    <w:rsid w:val="002B5702"/>
    <w:rsid w:val="002B5754"/>
    <w:rsid w:val="002B5A34"/>
    <w:rsid w:val="002B5A38"/>
    <w:rsid w:val="002B60C5"/>
    <w:rsid w:val="002B62D2"/>
    <w:rsid w:val="002B66B9"/>
    <w:rsid w:val="002B6854"/>
    <w:rsid w:val="002B6A4D"/>
    <w:rsid w:val="002B6AB8"/>
    <w:rsid w:val="002B6AE7"/>
    <w:rsid w:val="002B6EEF"/>
    <w:rsid w:val="002B6F36"/>
    <w:rsid w:val="002B71DC"/>
    <w:rsid w:val="002B7330"/>
    <w:rsid w:val="002B7394"/>
    <w:rsid w:val="002B739D"/>
    <w:rsid w:val="002B741B"/>
    <w:rsid w:val="002B78D1"/>
    <w:rsid w:val="002B7B8E"/>
    <w:rsid w:val="002B7BF5"/>
    <w:rsid w:val="002B7F82"/>
    <w:rsid w:val="002C06B5"/>
    <w:rsid w:val="002C06F9"/>
    <w:rsid w:val="002C08AD"/>
    <w:rsid w:val="002C0963"/>
    <w:rsid w:val="002C0975"/>
    <w:rsid w:val="002C09CF"/>
    <w:rsid w:val="002C0DDA"/>
    <w:rsid w:val="002C1674"/>
    <w:rsid w:val="002C1A64"/>
    <w:rsid w:val="002C1B48"/>
    <w:rsid w:val="002C1C6C"/>
    <w:rsid w:val="002C1C7C"/>
    <w:rsid w:val="002C1D19"/>
    <w:rsid w:val="002C2161"/>
    <w:rsid w:val="002C2314"/>
    <w:rsid w:val="002C2493"/>
    <w:rsid w:val="002C250A"/>
    <w:rsid w:val="002C25CE"/>
    <w:rsid w:val="002C2747"/>
    <w:rsid w:val="002C27DD"/>
    <w:rsid w:val="002C2916"/>
    <w:rsid w:val="002C2960"/>
    <w:rsid w:val="002C2A42"/>
    <w:rsid w:val="002C2B46"/>
    <w:rsid w:val="002C2BD6"/>
    <w:rsid w:val="002C2E18"/>
    <w:rsid w:val="002C2F22"/>
    <w:rsid w:val="002C3293"/>
    <w:rsid w:val="002C3363"/>
    <w:rsid w:val="002C3590"/>
    <w:rsid w:val="002C3677"/>
    <w:rsid w:val="002C36EF"/>
    <w:rsid w:val="002C3A70"/>
    <w:rsid w:val="002C3CAF"/>
    <w:rsid w:val="002C40BD"/>
    <w:rsid w:val="002C40FE"/>
    <w:rsid w:val="002C4287"/>
    <w:rsid w:val="002C44B7"/>
    <w:rsid w:val="002C46D8"/>
    <w:rsid w:val="002C48F3"/>
    <w:rsid w:val="002C4B32"/>
    <w:rsid w:val="002C52BC"/>
    <w:rsid w:val="002C52F5"/>
    <w:rsid w:val="002C5412"/>
    <w:rsid w:val="002C541C"/>
    <w:rsid w:val="002C559D"/>
    <w:rsid w:val="002C57EC"/>
    <w:rsid w:val="002C6264"/>
    <w:rsid w:val="002C628F"/>
    <w:rsid w:val="002C64F5"/>
    <w:rsid w:val="002C6514"/>
    <w:rsid w:val="002C65C4"/>
    <w:rsid w:val="002C6717"/>
    <w:rsid w:val="002C6732"/>
    <w:rsid w:val="002C68A8"/>
    <w:rsid w:val="002C6C85"/>
    <w:rsid w:val="002C6D91"/>
    <w:rsid w:val="002C6E68"/>
    <w:rsid w:val="002C6F55"/>
    <w:rsid w:val="002C6FC1"/>
    <w:rsid w:val="002C7307"/>
    <w:rsid w:val="002C7488"/>
    <w:rsid w:val="002C7727"/>
    <w:rsid w:val="002C7865"/>
    <w:rsid w:val="002C789B"/>
    <w:rsid w:val="002C795F"/>
    <w:rsid w:val="002C799B"/>
    <w:rsid w:val="002C7B9C"/>
    <w:rsid w:val="002C7C85"/>
    <w:rsid w:val="002C7CBF"/>
    <w:rsid w:val="002C7ED2"/>
    <w:rsid w:val="002D09C9"/>
    <w:rsid w:val="002D0A8D"/>
    <w:rsid w:val="002D0D4A"/>
    <w:rsid w:val="002D1183"/>
    <w:rsid w:val="002D16A7"/>
    <w:rsid w:val="002D1AEF"/>
    <w:rsid w:val="002D21E3"/>
    <w:rsid w:val="002D2726"/>
    <w:rsid w:val="002D286E"/>
    <w:rsid w:val="002D28EF"/>
    <w:rsid w:val="002D2A2E"/>
    <w:rsid w:val="002D2BC1"/>
    <w:rsid w:val="002D2BCD"/>
    <w:rsid w:val="002D2D33"/>
    <w:rsid w:val="002D2DB2"/>
    <w:rsid w:val="002D3462"/>
    <w:rsid w:val="002D3832"/>
    <w:rsid w:val="002D39F0"/>
    <w:rsid w:val="002D3A56"/>
    <w:rsid w:val="002D3B90"/>
    <w:rsid w:val="002D3C44"/>
    <w:rsid w:val="002D3DB3"/>
    <w:rsid w:val="002D4147"/>
    <w:rsid w:val="002D44D6"/>
    <w:rsid w:val="002D4739"/>
    <w:rsid w:val="002D4B41"/>
    <w:rsid w:val="002D4CD8"/>
    <w:rsid w:val="002D4D0D"/>
    <w:rsid w:val="002D4E67"/>
    <w:rsid w:val="002D4F4B"/>
    <w:rsid w:val="002D5069"/>
    <w:rsid w:val="002D5C3D"/>
    <w:rsid w:val="002D5D19"/>
    <w:rsid w:val="002D6410"/>
    <w:rsid w:val="002D6535"/>
    <w:rsid w:val="002D6664"/>
    <w:rsid w:val="002D6A94"/>
    <w:rsid w:val="002D6F1E"/>
    <w:rsid w:val="002D6F1F"/>
    <w:rsid w:val="002D740F"/>
    <w:rsid w:val="002D7640"/>
    <w:rsid w:val="002D7812"/>
    <w:rsid w:val="002D786F"/>
    <w:rsid w:val="002D7C7E"/>
    <w:rsid w:val="002D7E5E"/>
    <w:rsid w:val="002E085B"/>
    <w:rsid w:val="002E0876"/>
    <w:rsid w:val="002E0B55"/>
    <w:rsid w:val="002E0BB6"/>
    <w:rsid w:val="002E0DCC"/>
    <w:rsid w:val="002E0E3B"/>
    <w:rsid w:val="002E10A4"/>
    <w:rsid w:val="002E10F6"/>
    <w:rsid w:val="002E14FF"/>
    <w:rsid w:val="002E1872"/>
    <w:rsid w:val="002E227F"/>
    <w:rsid w:val="002E2340"/>
    <w:rsid w:val="002E238C"/>
    <w:rsid w:val="002E28B1"/>
    <w:rsid w:val="002E2E65"/>
    <w:rsid w:val="002E3114"/>
    <w:rsid w:val="002E320B"/>
    <w:rsid w:val="002E38F8"/>
    <w:rsid w:val="002E395D"/>
    <w:rsid w:val="002E3AC0"/>
    <w:rsid w:val="002E3D0B"/>
    <w:rsid w:val="002E3D85"/>
    <w:rsid w:val="002E3DD1"/>
    <w:rsid w:val="002E3F9D"/>
    <w:rsid w:val="002E4050"/>
    <w:rsid w:val="002E41AF"/>
    <w:rsid w:val="002E4760"/>
    <w:rsid w:val="002E48A4"/>
    <w:rsid w:val="002E4B16"/>
    <w:rsid w:val="002E4DCA"/>
    <w:rsid w:val="002E4EAF"/>
    <w:rsid w:val="002E4F5A"/>
    <w:rsid w:val="002E5188"/>
    <w:rsid w:val="002E5681"/>
    <w:rsid w:val="002E5C0C"/>
    <w:rsid w:val="002E5C17"/>
    <w:rsid w:val="002E6316"/>
    <w:rsid w:val="002E6500"/>
    <w:rsid w:val="002E66FD"/>
    <w:rsid w:val="002E67A7"/>
    <w:rsid w:val="002E67E0"/>
    <w:rsid w:val="002E68D1"/>
    <w:rsid w:val="002E6A15"/>
    <w:rsid w:val="002E6AE7"/>
    <w:rsid w:val="002E6B43"/>
    <w:rsid w:val="002E6D84"/>
    <w:rsid w:val="002E6E03"/>
    <w:rsid w:val="002E6E6F"/>
    <w:rsid w:val="002E6EEC"/>
    <w:rsid w:val="002E6F82"/>
    <w:rsid w:val="002E7429"/>
    <w:rsid w:val="002E756F"/>
    <w:rsid w:val="002E786A"/>
    <w:rsid w:val="002E7A67"/>
    <w:rsid w:val="002E7E33"/>
    <w:rsid w:val="002E7EDF"/>
    <w:rsid w:val="002F032C"/>
    <w:rsid w:val="002F040A"/>
    <w:rsid w:val="002F045A"/>
    <w:rsid w:val="002F091E"/>
    <w:rsid w:val="002F0974"/>
    <w:rsid w:val="002F0D30"/>
    <w:rsid w:val="002F0EE8"/>
    <w:rsid w:val="002F10AA"/>
    <w:rsid w:val="002F10CF"/>
    <w:rsid w:val="002F1505"/>
    <w:rsid w:val="002F154D"/>
    <w:rsid w:val="002F159B"/>
    <w:rsid w:val="002F18FB"/>
    <w:rsid w:val="002F1D85"/>
    <w:rsid w:val="002F20D4"/>
    <w:rsid w:val="002F22AC"/>
    <w:rsid w:val="002F2B62"/>
    <w:rsid w:val="002F2C05"/>
    <w:rsid w:val="002F2D96"/>
    <w:rsid w:val="002F2EB9"/>
    <w:rsid w:val="002F317C"/>
    <w:rsid w:val="002F3717"/>
    <w:rsid w:val="002F378F"/>
    <w:rsid w:val="002F3996"/>
    <w:rsid w:val="002F3D6D"/>
    <w:rsid w:val="002F3D9D"/>
    <w:rsid w:val="002F42AC"/>
    <w:rsid w:val="002F44AC"/>
    <w:rsid w:val="002F472C"/>
    <w:rsid w:val="002F4977"/>
    <w:rsid w:val="002F4F20"/>
    <w:rsid w:val="002F5256"/>
    <w:rsid w:val="002F56D5"/>
    <w:rsid w:val="002F5743"/>
    <w:rsid w:val="002F5809"/>
    <w:rsid w:val="002F5DA4"/>
    <w:rsid w:val="002F6008"/>
    <w:rsid w:val="002F60FB"/>
    <w:rsid w:val="002F616B"/>
    <w:rsid w:val="002F65FE"/>
    <w:rsid w:val="002F6694"/>
    <w:rsid w:val="002F6DAE"/>
    <w:rsid w:val="002F6DDC"/>
    <w:rsid w:val="002F6F76"/>
    <w:rsid w:val="002F7385"/>
    <w:rsid w:val="002F74CB"/>
    <w:rsid w:val="002F76FF"/>
    <w:rsid w:val="002F7882"/>
    <w:rsid w:val="002F7933"/>
    <w:rsid w:val="002F79F3"/>
    <w:rsid w:val="002F7A6B"/>
    <w:rsid w:val="002F7BC3"/>
    <w:rsid w:val="002F7F20"/>
    <w:rsid w:val="00300070"/>
    <w:rsid w:val="00300542"/>
    <w:rsid w:val="00300725"/>
    <w:rsid w:val="00300863"/>
    <w:rsid w:val="00300919"/>
    <w:rsid w:val="0030108C"/>
    <w:rsid w:val="00301821"/>
    <w:rsid w:val="00301900"/>
    <w:rsid w:val="00301EEE"/>
    <w:rsid w:val="00302347"/>
    <w:rsid w:val="003024E2"/>
    <w:rsid w:val="0030261E"/>
    <w:rsid w:val="0030281A"/>
    <w:rsid w:val="00302B7B"/>
    <w:rsid w:val="0030325B"/>
    <w:rsid w:val="00303731"/>
    <w:rsid w:val="0030397B"/>
    <w:rsid w:val="00303F49"/>
    <w:rsid w:val="00303FC1"/>
    <w:rsid w:val="00304132"/>
    <w:rsid w:val="003041FA"/>
    <w:rsid w:val="003042D5"/>
    <w:rsid w:val="0030448F"/>
    <w:rsid w:val="003044F6"/>
    <w:rsid w:val="0030465A"/>
    <w:rsid w:val="003046F2"/>
    <w:rsid w:val="0030491B"/>
    <w:rsid w:val="00304BDD"/>
    <w:rsid w:val="003051B9"/>
    <w:rsid w:val="0030522E"/>
    <w:rsid w:val="00305397"/>
    <w:rsid w:val="0030578F"/>
    <w:rsid w:val="00305796"/>
    <w:rsid w:val="0030582D"/>
    <w:rsid w:val="00305907"/>
    <w:rsid w:val="00305C33"/>
    <w:rsid w:val="00306209"/>
    <w:rsid w:val="00306354"/>
    <w:rsid w:val="003065BD"/>
    <w:rsid w:val="003065BE"/>
    <w:rsid w:val="00306C78"/>
    <w:rsid w:val="00306DE4"/>
    <w:rsid w:val="00306F50"/>
    <w:rsid w:val="0030700E"/>
    <w:rsid w:val="0030725C"/>
    <w:rsid w:val="00307645"/>
    <w:rsid w:val="00307848"/>
    <w:rsid w:val="00307AEC"/>
    <w:rsid w:val="00307B6B"/>
    <w:rsid w:val="00307BAC"/>
    <w:rsid w:val="00307CB0"/>
    <w:rsid w:val="00307E4B"/>
    <w:rsid w:val="00310079"/>
    <w:rsid w:val="0031045E"/>
    <w:rsid w:val="00310501"/>
    <w:rsid w:val="003106C2"/>
    <w:rsid w:val="0031075C"/>
    <w:rsid w:val="0031092C"/>
    <w:rsid w:val="00310D79"/>
    <w:rsid w:val="00310D91"/>
    <w:rsid w:val="00310E03"/>
    <w:rsid w:val="00310F58"/>
    <w:rsid w:val="00310F96"/>
    <w:rsid w:val="00311155"/>
    <w:rsid w:val="003111F4"/>
    <w:rsid w:val="003112CA"/>
    <w:rsid w:val="00311311"/>
    <w:rsid w:val="00311690"/>
    <w:rsid w:val="00311B24"/>
    <w:rsid w:val="00311D2B"/>
    <w:rsid w:val="00312201"/>
    <w:rsid w:val="00312449"/>
    <w:rsid w:val="00312634"/>
    <w:rsid w:val="003127D0"/>
    <w:rsid w:val="003128F8"/>
    <w:rsid w:val="00312B36"/>
    <w:rsid w:val="00312FB5"/>
    <w:rsid w:val="0031308F"/>
    <w:rsid w:val="00313169"/>
    <w:rsid w:val="00313249"/>
    <w:rsid w:val="003132B4"/>
    <w:rsid w:val="003133BD"/>
    <w:rsid w:val="0031362D"/>
    <w:rsid w:val="0031375E"/>
    <w:rsid w:val="003137D8"/>
    <w:rsid w:val="00313897"/>
    <w:rsid w:val="003139FF"/>
    <w:rsid w:val="00313A78"/>
    <w:rsid w:val="00313B41"/>
    <w:rsid w:val="00313CC6"/>
    <w:rsid w:val="00313EC4"/>
    <w:rsid w:val="00313F0A"/>
    <w:rsid w:val="00314293"/>
    <w:rsid w:val="003144A7"/>
    <w:rsid w:val="003147F9"/>
    <w:rsid w:val="00314B76"/>
    <w:rsid w:val="00314CF3"/>
    <w:rsid w:val="00314D00"/>
    <w:rsid w:val="00314DDC"/>
    <w:rsid w:val="0031502A"/>
    <w:rsid w:val="00315060"/>
    <w:rsid w:val="003150B0"/>
    <w:rsid w:val="003150D7"/>
    <w:rsid w:val="00315114"/>
    <w:rsid w:val="00315291"/>
    <w:rsid w:val="00315346"/>
    <w:rsid w:val="0031538E"/>
    <w:rsid w:val="003156C6"/>
    <w:rsid w:val="003156FD"/>
    <w:rsid w:val="003158DA"/>
    <w:rsid w:val="00315B98"/>
    <w:rsid w:val="00315EBE"/>
    <w:rsid w:val="0031616D"/>
    <w:rsid w:val="003161AC"/>
    <w:rsid w:val="00316247"/>
    <w:rsid w:val="003165E2"/>
    <w:rsid w:val="00316A09"/>
    <w:rsid w:val="00317375"/>
    <w:rsid w:val="0031756F"/>
    <w:rsid w:val="003175EB"/>
    <w:rsid w:val="00317600"/>
    <w:rsid w:val="00317A3E"/>
    <w:rsid w:val="00317D97"/>
    <w:rsid w:val="0032002E"/>
    <w:rsid w:val="003201F9"/>
    <w:rsid w:val="00320571"/>
    <w:rsid w:val="003206C5"/>
    <w:rsid w:val="003207FD"/>
    <w:rsid w:val="00320862"/>
    <w:rsid w:val="00320A92"/>
    <w:rsid w:val="00320C73"/>
    <w:rsid w:val="003210B5"/>
    <w:rsid w:val="00321DBC"/>
    <w:rsid w:val="00322026"/>
    <w:rsid w:val="003223DA"/>
    <w:rsid w:val="003224BA"/>
    <w:rsid w:val="00322591"/>
    <w:rsid w:val="00322621"/>
    <w:rsid w:val="003226B7"/>
    <w:rsid w:val="0032275B"/>
    <w:rsid w:val="00322B47"/>
    <w:rsid w:val="00322B84"/>
    <w:rsid w:val="00322BAC"/>
    <w:rsid w:val="00322E7D"/>
    <w:rsid w:val="00322F15"/>
    <w:rsid w:val="00322F3B"/>
    <w:rsid w:val="00323188"/>
    <w:rsid w:val="0032362C"/>
    <w:rsid w:val="00323665"/>
    <w:rsid w:val="003238B1"/>
    <w:rsid w:val="003238EE"/>
    <w:rsid w:val="00323988"/>
    <w:rsid w:val="00323A25"/>
    <w:rsid w:val="00323A36"/>
    <w:rsid w:val="00323B38"/>
    <w:rsid w:val="0032456E"/>
    <w:rsid w:val="0032468A"/>
    <w:rsid w:val="00324C73"/>
    <w:rsid w:val="00324D08"/>
    <w:rsid w:val="00324E0D"/>
    <w:rsid w:val="00325136"/>
    <w:rsid w:val="00325396"/>
    <w:rsid w:val="0032558E"/>
    <w:rsid w:val="0032570F"/>
    <w:rsid w:val="003258E2"/>
    <w:rsid w:val="00325FC6"/>
    <w:rsid w:val="003261BA"/>
    <w:rsid w:val="003262FE"/>
    <w:rsid w:val="00326301"/>
    <w:rsid w:val="003263FB"/>
    <w:rsid w:val="0032642A"/>
    <w:rsid w:val="0032647F"/>
    <w:rsid w:val="003264F5"/>
    <w:rsid w:val="00326548"/>
    <w:rsid w:val="003266B3"/>
    <w:rsid w:val="003269DB"/>
    <w:rsid w:val="00326B49"/>
    <w:rsid w:val="00326B89"/>
    <w:rsid w:val="00326D92"/>
    <w:rsid w:val="00327081"/>
    <w:rsid w:val="00327257"/>
    <w:rsid w:val="003276F0"/>
    <w:rsid w:val="003279AB"/>
    <w:rsid w:val="003279E1"/>
    <w:rsid w:val="00327ADA"/>
    <w:rsid w:val="00327D37"/>
    <w:rsid w:val="00327EBD"/>
    <w:rsid w:val="00327F44"/>
    <w:rsid w:val="00327F87"/>
    <w:rsid w:val="00330201"/>
    <w:rsid w:val="00330319"/>
    <w:rsid w:val="003307F6"/>
    <w:rsid w:val="0033088A"/>
    <w:rsid w:val="00330C6D"/>
    <w:rsid w:val="00330EF9"/>
    <w:rsid w:val="00331499"/>
    <w:rsid w:val="003316D4"/>
    <w:rsid w:val="003316D7"/>
    <w:rsid w:val="00331BA8"/>
    <w:rsid w:val="00331C1D"/>
    <w:rsid w:val="00331EF3"/>
    <w:rsid w:val="003329E1"/>
    <w:rsid w:val="00332CD5"/>
    <w:rsid w:val="00332F5F"/>
    <w:rsid w:val="00332FBC"/>
    <w:rsid w:val="0033300B"/>
    <w:rsid w:val="003331C9"/>
    <w:rsid w:val="003333D9"/>
    <w:rsid w:val="00333740"/>
    <w:rsid w:val="00333FAE"/>
    <w:rsid w:val="00334047"/>
    <w:rsid w:val="00334194"/>
    <w:rsid w:val="00334222"/>
    <w:rsid w:val="003343B3"/>
    <w:rsid w:val="00334696"/>
    <w:rsid w:val="003347E3"/>
    <w:rsid w:val="0033484C"/>
    <w:rsid w:val="00334B5E"/>
    <w:rsid w:val="00334D3F"/>
    <w:rsid w:val="0033504A"/>
    <w:rsid w:val="00335183"/>
    <w:rsid w:val="003353E1"/>
    <w:rsid w:val="0033571B"/>
    <w:rsid w:val="003358DE"/>
    <w:rsid w:val="0033590F"/>
    <w:rsid w:val="00335A50"/>
    <w:rsid w:val="00335F34"/>
    <w:rsid w:val="00336077"/>
    <w:rsid w:val="0033658E"/>
    <w:rsid w:val="003365E4"/>
    <w:rsid w:val="00336654"/>
    <w:rsid w:val="0033672C"/>
    <w:rsid w:val="003367CA"/>
    <w:rsid w:val="00336852"/>
    <w:rsid w:val="00336BE1"/>
    <w:rsid w:val="00336EDF"/>
    <w:rsid w:val="003372B4"/>
    <w:rsid w:val="003374FF"/>
    <w:rsid w:val="00337C01"/>
    <w:rsid w:val="00337D06"/>
    <w:rsid w:val="00337D86"/>
    <w:rsid w:val="00337F26"/>
    <w:rsid w:val="00340248"/>
    <w:rsid w:val="00340350"/>
    <w:rsid w:val="00340416"/>
    <w:rsid w:val="003404A8"/>
    <w:rsid w:val="003404F8"/>
    <w:rsid w:val="003408C2"/>
    <w:rsid w:val="003408DF"/>
    <w:rsid w:val="0034092D"/>
    <w:rsid w:val="00340E2C"/>
    <w:rsid w:val="00340F1F"/>
    <w:rsid w:val="003411D2"/>
    <w:rsid w:val="003412CC"/>
    <w:rsid w:val="00341338"/>
    <w:rsid w:val="00341379"/>
    <w:rsid w:val="003414B6"/>
    <w:rsid w:val="003416DE"/>
    <w:rsid w:val="00341788"/>
    <w:rsid w:val="00341922"/>
    <w:rsid w:val="00341991"/>
    <w:rsid w:val="00341B7D"/>
    <w:rsid w:val="00341BE5"/>
    <w:rsid w:val="00341C2F"/>
    <w:rsid w:val="00341D31"/>
    <w:rsid w:val="00341E66"/>
    <w:rsid w:val="00342156"/>
    <w:rsid w:val="0034236E"/>
    <w:rsid w:val="0034250C"/>
    <w:rsid w:val="003428F9"/>
    <w:rsid w:val="00342A4C"/>
    <w:rsid w:val="00342A7F"/>
    <w:rsid w:val="00342AB5"/>
    <w:rsid w:val="00342D6F"/>
    <w:rsid w:val="00342DA2"/>
    <w:rsid w:val="00342E86"/>
    <w:rsid w:val="003433AE"/>
    <w:rsid w:val="003433B9"/>
    <w:rsid w:val="003433EC"/>
    <w:rsid w:val="003434FE"/>
    <w:rsid w:val="003435DB"/>
    <w:rsid w:val="0034383C"/>
    <w:rsid w:val="003438B7"/>
    <w:rsid w:val="00343E57"/>
    <w:rsid w:val="00343F96"/>
    <w:rsid w:val="0034426C"/>
    <w:rsid w:val="003442C7"/>
    <w:rsid w:val="003443A3"/>
    <w:rsid w:val="00344441"/>
    <w:rsid w:val="003446FD"/>
    <w:rsid w:val="0034470D"/>
    <w:rsid w:val="00344904"/>
    <w:rsid w:val="00344ADF"/>
    <w:rsid w:val="00344B53"/>
    <w:rsid w:val="00344CBC"/>
    <w:rsid w:val="00344DFD"/>
    <w:rsid w:val="00344E2A"/>
    <w:rsid w:val="00344FA9"/>
    <w:rsid w:val="003455D1"/>
    <w:rsid w:val="00345A1C"/>
    <w:rsid w:val="00345B9C"/>
    <w:rsid w:val="00345C95"/>
    <w:rsid w:val="00345D12"/>
    <w:rsid w:val="00345D95"/>
    <w:rsid w:val="00345FF7"/>
    <w:rsid w:val="00346061"/>
    <w:rsid w:val="003464E6"/>
    <w:rsid w:val="003465DA"/>
    <w:rsid w:val="003466B1"/>
    <w:rsid w:val="003467B7"/>
    <w:rsid w:val="0034687C"/>
    <w:rsid w:val="003468A1"/>
    <w:rsid w:val="00346C03"/>
    <w:rsid w:val="00346EE5"/>
    <w:rsid w:val="00347342"/>
    <w:rsid w:val="00347646"/>
    <w:rsid w:val="003477E0"/>
    <w:rsid w:val="00347924"/>
    <w:rsid w:val="00347B5D"/>
    <w:rsid w:val="00347D07"/>
    <w:rsid w:val="00347D91"/>
    <w:rsid w:val="003500E0"/>
    <w:rsid w:val="003505C5"/>
    <w:rsid w:val="0035064C"/>
    <w:rsid w:val="003506F3"/>
    <w:rsid w:val="0035072B"/>
    <w:rsid w:val="00350B6C"/>
    <w:rsid w:val="00350C81"/>
    <w:rsid w:val="00350E73"/>
    <w:rsid w:val="00350EEA"/>
    <w:rsid w:val="00350F22"/>
    <w:rsid w:val="00351128"/>
    <w:rsid w:val="00351215"/>
    <w:rsid w:val="0035129A"/>
    <w:rsid w:val="00351708"/>
    <w:rsid w:val="003517D1"/>
    <w:rsid w:val="003521E8"/>
    <w:rsid w:val="0035262A"/>
    <w:rsid w:val="0035266E"/>
    <w:rsid w:val="003527FE"/>
    <w:rsid w:val="00352C8F"/>
    <w:rsid w:val="00352FD3"/>
    <w:rsid w:val="00353044"/>
    <w:rsid w:val="003531B1"/>
    <w:rsid w:val="00353289"/>
    <w:rsid w:val="003533BD"/>
    <w:rsid w:val="00353677"/>
    <w:rsid w:val="0035385F"/>
    <w:rsid w:val="00353D5B"/>
    <w:rsid w:val="00353DAD"/>
    <w:rsid w:val="00353E75"/>
    <w:rsid w:val="00354009"/>
    <w:rsid w:val="0035407B"/>
    <w:rsid w:val="00354410"/>
    <w:rsid w:val="003549D2"/>
    <w:rsid w:val="00354B8D"/>
    <w:rsid w:val="00354BF8"/>
    <w:rsid w:val="00354F78"/>
    <w:rsid w:val="00355157"/>
    <w:rsid w:val="00355460"/>
    <w:rsid w:val="00355C9C"/>
    <w:rsid w:val="00355D85"/>
    <w:rsid w:val="00355E7C"/>
    <w:rsid w:val="00356081"/>
    <w:rsid w:val="00356A23"/>
    <w:rsid w:val="00356F22"/>
    <w:rsid w:val="00356F9D"/>
    <w:rsid w:val="003570DA"/>
    <w:rsid w:val="00357197"/>
    <w:rsid w:val="00357442"/>
    <w:rsid w:val="003574C7"/>
    <w:rsid w:val="0035767E"/>
    <w:rsid w:val="003576BE"/>
    <w:rsid w:val="003577D2"/>
    <w:rsid w:val="00357D42"/>
    <w:rsid w:val="00357DB7"/>
    <w:rsid w:val="00357E42"/>
    <w:rsid w:val="00357FBB"/>
    <w:rsid w:val="003600B6"/>
    <w:rsid w:val="00360183"/>
    <w:rsid w:val="00360672"/>
    <w:rsid w:val="00360AEE"/>
    <w:rsid w:val="00360ED9"/>
    <w:rsid w:val="003613FD"/>
    <w:rsid w:val="00361810"/>
    <w:rsid w:val="00361C0A"/>
    <w:rsid w:val="00361F87"/>
    <w:rsid w:val="00362071"/>
    <w:rsid w:val="0036218E"/>
    <w:rsid w:val="0036223B"/>
    <w:rsid w:val="00362384"/>
    <w:rsid w:val="003624A6"/>
    <w:rsid w:val="003625E0"/>
    <w:rsid w:val="0036281D"/>
    <w:rsid w:val="00362AEE"/>
    <w:rsid w:val="00362BE3"/>
    <w:rsid w:val="003631C2"/>
    <w:rsid w:val="00363416"/>
    <w:rsid w:val="0036386D"/>
    <w:rsid w:val="00363A1B"/>
    <w:rsid w:val="00363A4A"/>
    <w:rsid w:val="00363D2B"/>
    <w:rsid w:val="00364032"/>
    <w:rsid w:val="0036425C"/>
    <w:rsid w:val="003643DE"/>
    <w:rsid w:val="0036440C"/>
    <w:rsid w:val="0036461F"/>
    <w:rsid w:val="003647ED"/>
    <w:rsid w:val="0036482E"/>
    <w:rsid w:val="00364A6F"/>
    <w:rsid w:val="00364BF4"/>
    <w:rsid w:val="00364CE0"/>
    <w:rsid w:val="00364D87"/>
    <w:rsid w:val="00365277"/>
    <w:rsid w:val="00365391"/>
    <w:rsid w:val="003655DB"/>
    <w:rsid w:val="003657A6"/>
    <w:rsid w:val="00365965"/>
    <w:rsid w:val="0036606D"/>
    <w:rsid w:val="003661E8"/>
    <w:rsid w:val="0036634D"/>
    <w:rsid w:val="003663B9"/>
    <w:rsid w:val="00366494"/>
    <w:rsid w:val="003669A2"/>
    <w:rsid w:val="00366B06"/>
    <w:rsid w:val="00366BC2"/>
    <w:rsid w:val="00366DA6"/>
    <w:rsid w:val="00366F38"/>
    <w:rsid w:val="003672B4"/>
    <w:rsid w:val="003675C7"/>
    <w:rsid w:val="003679F7"/>
    <w:rsid w:val="00367CBF"/>
    <w:rsid w:val="00367DF7"/>
    <w:rsid w:val="00370140"/>
    <w:rsid w:val="0037050F"/>
    <w:rsid w:val="0037059C"/>
    <w:rsid w:val="00370719"/>
    <w:rsid w:val="00370995"/>
    <w:rsid w:val="00370BE1"/>
    <w:rsid w:val="00370CAD"/>
    <w:rsid w:val="00370F28"/>
    <w:rsid w:val="00371D25"/>
    <w:rsid w:val="00371EDA"/>
    <w:rsid w:val="003720BD"/>
    <w:rsid w:val="00372159"/>
    <w:rsid w:val="003723AC"/>
    <w:rsid w:val="00372678"/>
    <w:rsid w:val="00372C79"/>
    <w:rsid w:val="00372E00"/>
    <w:rsid w:val="00372E06"/>
    <w:rsid w:val="00372EFF"/>
    <w:rsid w:val="003730F5"/>
    <w:rsid w:val="00373140"/>
    <w:rsid w:val="00373B6D"/>
    <w:rsid w:val="00373C96"/>
    <w:rsid w:val="0037431F"/>
    <w:rsid w:val="00374D27"/>
    <w:rsid w:val="0037503A"/>
    <w:rsid w:val="0037506C"/>
    <w:rsid w:val="00375215"/>
    <w:rsid w:val="003754BA"/>
    <w:rsid w:val="003755F0"/>
    <w:rsid w:val="003759BA"/>
    <w:rsid w:val="00375AB2"/>
    <w:rsid w:val="00375C60"/>
    <w:rsid w:val="00375CAA"/>
    <w:rsid w:val="00375FAD"/>
    <w:rsid w:val="0037613B"/>
    <w:rsid w:val="00376689"/>
    <w:rsid w:val="003767A2"/>
    <w:rsid w:val="0037717E"/>
    <w:rsid w:val="00377787"/>
    <w:rsid w:val="00377B66"/>
    <w:rsid w:val="00377BEB"/>
    <w:rsid w:val="00377DCC"/>
    <w:rsid w:val="00377E71"/>
    <w:rsid w:val="003800E7"/>
    <w:rsid w:val="00380183"/>
    <w:rsid w:val="00380204"/>
    <w:rsid w:val="003802F0"/>
    <w:rsid w:val="003803FF"/>
    <w:rsid w:val="0038076A"/>
    <w:rsid w:val="00380851"/>
    <w:rsid w:val="003808B6"/>
    <w:rsid w:val="00380AFC"/>
    <w:rsid w:val="00380D9B"/>
    <w:rsid w:val="00380F6E"/>
    <w:rsid w:val="00381105"/>
    <w:rsid w:val="0038110F"/>
    <w:rsid w:val="0038126A"/>
    <w:rsid w:val="00381456"/>
    <w:rsid w:val="003816E2"/>
    <w:rsid w:val="00381991"/>
    <w:rsid w:val="003819A7"/>
    <w:rsid w:val="00381C2E"/>
    <w:rsid w:val="00382181"/>
    <w:rsid w:val="00382189"/>
    <w:rsid w:val="00382255"/>
    <w:rsid w:val="00382321"/>
    <w:rsid w:val="0038267E"/>
    <w:rsid w:val="003826A2"/>
    <w:rsid w:val="00382781"/>
    <w:rsid w:val="003827B4"/>
    <w:rsid w:val="00382E25"/>
    <w:rsid w:val="00382E96"/>
    <w:rsid w:val="00383712"/>
    <w:rsid w:val="00383F24"/>
    <w:rsid w:val="00384854"/>
    <w:rsid w:val="003848A2"/>
    <w:rsid w:val="00384934"/>
    <w:rsid w:val="00384B45"/>
    <w:rsid w:val="00384B4D"/>
    <w:rsid w:val="00384BE1"/>
    <w:rsid w:val="00384CCD"/>
    <w:rsid w:val="00384E08"/>
    <w:rsid w:val="00385179"/>
    <w:rsid w:val="003851B2"/>
    <w:rsid w:val="003853EB"/>
    <w:rsid w:val="003854BD"/>
    <w:rsid w:val="003855AA"/>
    <w:rsid w:val="00385601"/>
    <w:rsid w:val="00385771"/>
    <w:rsid w:val="00385D09"/>
    <w:rsid w:val="00386046"/>
    <w:rsid w:val="003862AA"/>
    <w:rsid w:val="0038645F"/>
    <w:rsid w:val="00386569"/>
    <w:rsid w:val="003867C1"/>
    <w:rsid w:val="00386A70"/>
    <w:rsid w:val="00386A73"/>
    <w:rsid w:val="00386D46"/>
    <w:rsid w:val="003870B5"/>
    <w:rsid w:val="0038742C"/>
    <w:rsid w:val="00387573"/>
    <w:rsid w:val="003875BF"/>
    <w:rsid w:val="00387646"/>
    <w:rsid w:val="00387ADE"/>
    <w:rsid w:val="0039012E"/>
    <w:rsid w:val="003902D1"/>
    <w:rsid w:val="00390329"/>
    <w:rsid w:val="0039034C"/>
    <w:rsid w:val="003903F2"/>
    <w:rsid w:val="0039048A"/>
    <w:rsid w:val="00391233"/>
    <w:rsid w:val="00391B43"/>
    <w:rsid w:val="00392146"/>
    <w:rsid w:val="0039239D"/>
    <w:rsid w:val="0039253B"/>
    <w:rsid w:val="003927A4"/>
    <w:rsid w:val="00392955"/>
    <w:rsid w:val="00392B36"/>
    <w:rsid w:val="00392C69"/>
    <w:rsid w:val="00393473"/>
    <w:rsid w:val="0039373F"/>
    <w:rsid w:val="003937D3"/>
    <w:rsid w:val="0039388B"/>
    <w:rsid w:val="00393C1B"/>
    <w:rsid w:val="00393D5B"/>
    <w:rsid w:val="00393FDC"/>
    <w:rsid w:val="00394505"/>
    <w:rsid w:val="0039480D"/>
    <w:rsid w:val="00394C1B"/>
    <w:rsid w:val="00394F14"/>
    <w:rsid w:val="00395154"/>
    <w:rsid w:val="003951DC"/>
    <w:rsid w:val="003952C6"/>
    <w:rsid w:val="0039532B"/>
    <w:rsid w:val="00395AC2"/>
    <w:rsid w:val="00395C5B"/>
    <w:rsid w:val="00395CA0"/>
    <w:rsid w:val="00396072"/>
    <w:rsid w:val="00396261"/>
    <w:rsid w:val="0039639E"/>
    <w:rsid w:val="00396595"/>
    <w:rsid w:val="003966FE"/>
    <w:rsid w:val="0039692B"/>
    <w:rsid w:val="00396A77"/>
    <w:rsid w:val="00396AB8"/>
    <w:rsid w:val="00396B93"/>
    <w:rsid w:val="00396E4A"/>
    <w:rsid w:val="00397367"/>
    <w:rsid w:val="003973EF"/>
    <w:rsid w:val="00397509"/>
    <w:rsid w:val="003976E0"/>
    <w:rsid w:val="00397B0F"/>
    <w:rsid w:val="00397B99"/>
    <w:rsid w:val="00397EA1"/>
    <w:rsid w:val="003A038E"/>
    <w:rsid w:val="003A040A"/>
    <w:rsid w:val="003A053B"/>
    <w:rsid w:val="003A0578"/>
    <w:rsid w:val="003A06F7"/>
    <w:rsid w:val="003A07D6"/>
    <w:rsid w:val="003A1050"/>
    <w:rsid w:val="003A10E3"/>
    <w:rsid w:val="003A1105"/>
    <w:rsid w:val="003A115D"/>
    <w:rsid w:val="003A149D"/>
    <w:rsid w:val="003A19BC"/>
    <w:rsid w:val="003A1B7D"/>
    <w:rsid w:val="003A1D8D"/>
    <w:rsid w:val="003A1EFB"/>
    <w:rsid w:val="003A2233"/>
    <w:rsid w:val="003A2A7F"/>
    <w:rsid w:val="003A2B0F"/>
    <w:rsid w:val="003A349F"/>
    <w:rsid w:val="003A35E8"/>
    <w:rsid w:val="003A35F1"/>
    <w:rsid w:val="003A3678"/>
    <w:rsid w:val="003A3865"/>
    <w:rsid w:val="003A3991"/>
    <w:rsid w:val="003A3F69"/>
    <w:rsid w:val="003A4582"/>
    <w:rsid w:val="003A46B7"/>
    <w:rsid w:val="003A47B8"/>
    <w:rsid w:val="003A4C54"/>
    <w:rsid w:val="003A4C6A"/>
    <w:rsid w:val="003A4E6F"/>
    <w:rsid w:val="003A4E95"/>
    <w:rsid w:val="003A4EAD"/>
    <w:rsid w:val="003A523F"/>
    <w:rsid w:val="003A5369"/>
    <w:rsid w:val="003A5499"/>
    <w:rsid w:val="003A5923"/>
    <w:rsid w:val="003A59A6"/>
    <w:rsid w:val="003A5A6B"/>
    <w:rsid w:val="003A6407"/>
    <w:rsid w:val="003A6715"/>
    <w:rsid w:val="003A6799"/>
    <w:rsid w:val="003A6F6B"/>
    <w:rsid w:val="003A6FA4"/>
    <w:rsid w:val="003A6FBF"/>
    <w:rsid w:val="003A7A66"/>
    <w:rsid w:val="003A7CD7"/>
    <w:rsid w:val="003A7DE9"/>
    <w:rsid w:val="003B0127"/>
    <w:rsid w:val="003B033C"/>
    <w:rsid w:val="003B039B"/>
    <w:rsid w:val="003B03CF"/>
    <w:rsid w:val="003B0570"/>
    <w:rsid w:val="003B05DC"/>
    <w:rsid w:val="003B0864"/>
    <w:rsid w:val="003B09DA"/>
    <w:rsid w:val="003B0A94"/>
    <w:rsid w:val="003B0BDE"/>
    <w:rsid w:val="003B1088"/>
    <w:rsid w:val="003B1190"/>
    <w:rsid w:val="003B1912"/>
    <w:rsid w:val="003B194F"/>
    <w:rsid w:val="003B1D67"/>
    <w:rsid w:val="003B1E0C"/>
    <w:rsid w:val="003B2059"/>
    <w:rsid w:val="003B21BC"/>
    <w:rsid w:val="003B2259"/>
    <w:rsid w:val="003B2D62"/>
    <w:rsid w:val="003B2EE0"/>
    <w:rsid w:val="003B3226"/>
    <w:rsid w:val="003B3606"/>
    <w:rsid w:val="003B3616"/>
    <w:rsid w:val="003B36A5"/>
    <w:rsid w:val="003B3A17"/>
    <w:rsid w:val="003B3BBD"/>
    <w:rsid w:val="003B3C55"/>
    <w:rsid w:val="003B3E8A"/>
    <w:rsid w:val="003B3F85"/>
    <w:rsid w:val="003B4040"/>
    <w:rsid w:val="003B410D"/>
    <w:rsid w:val="003B43B5"/>
    <w:rsid w:val="003B442A"/>
    <w:rsid w:val="003B4839"/>
    <w:rsid w:val="003B4A02"/>
    <w:rsid w:val="003B4C36"/>
    <w:rsid w:val="003B4F27"/>
    <w:rsid w:val="003B53FA"/>
    <w:rsid w:val="003B5549"/>
    <w:rsid w:val="003B5B9A"/>
    <w:rsid w:val="003B5CE8"/>
    <w:rsid w:val="003B5D80"/>
    <w:rsid w:val="003B5DCD"/>
    <w:rsid w:val="003B5F9B"/>
    <w:rsid w:val="003B6014"/>
    <w:rsid w:val="003B60A4"/>
    <w:rsid w:val="003B638B"/>
    <w:rsid w:val="003B6435"/>
    <w:rsid w:val="003B64B0"/>
    <w:rsid w:val="003B65C0"/>
    <w:rsid w:val="003B695D"/>
    <w:rsid w:val="003B6B35"/>
    <w:rsid w:val="003B6D86"/>
    <w:rsid w:val="003B6F41"/>
    <w:rsid w:val="003B7088"/>
    <w:rsid w:val="003B73FB"/>
    <w:rsid w:val="003B7792"/>
    <w:rsid w:val="003B79A6"/>
    <w:rsid w:val="003C0052"/>
    <w:rsid w:val="003C070A"/>
    <w:rsid w:val="003C076B"/>
    <w:rsid w:val="003C0906"/>
    <w:rsid w:val="003C0B62"/>
    <w:rsid w:val="003C0C1E"/>
    <w:rsid w:val="003C102D"/>
    <w:rsid w:val="003C1344"/>
    <w:rsid w:val="003C1441"/>
    <w:rsid w:val="003C14FA"/>
    <w:rsid w:val="003C1595"/>
    <w:rsid w:val="003C164A"/>
    <w:rsid w:val="003C1860"/>
    <w:rsid w:val="003C1993"/>
    <w:rsid w:val="003C1BB5"/>
    <w:rsid w:val="003C1C3A"/>
    <w:rsid w:val="003C1C96"/>
    <w:rsid w:val="003C1CD1"/>
    <w:rsid w:val="003C1E7E"/>
    <w:rsid w:val="003C1FB9"/>
    <w:rsid w:val="003C2205"/>
    <w:rsid w:val="003C24F2"/>
    <w:rsid w:val="003C29E9"/>
    <w:rsid w:val="003C2ADA"/>
    <w:rsid w:val="003C2ADE"/>
    <w:rsid w:val="003C2CBA"/>
    <w:rsid w:val="003C2D90"/>
    <w:rsid w:val="003C3259"/>
    <w:rsid w:val="003C3F9F"/>
    <w:rsid w:val="003C4067"/>
    <w:rsid w:val="003C4430"/>
    <w:rsid w:val="003C475F"/>
    <w:rsid w:val="003C47B1"/>
    <w:rsid w:val="003C482A"/>
    <w:rsid w:val="003C4A4D"/>
    <w:rsid w:val="003C4ADC"/>
    <w:rsid w:val="003C4F5A"/>
    <w:rsid w:val="003C4F9A"/>
    <w:rsid w:val="003C51AD"/>
    <w:rsid w:val="003C526F"/>
    <w:rsid w:val="003C529C"/>
    <w:rsid w:val="003C53A6"/>
    <w:rsid w:val="003C588E"/>
    <w:rsid w:val="003C5A17"/>
    <w:rsid w:val="003C5BF9"/>
    <w:rsid w:val="003C5D50"/>
    <w:rsid w:val="003C5F04"/>
    <w:rsid w:val="003C6111"/>
    <w:rsid w:val="003C61F5"/>
    <w:rsid w:val="003C6211"/>
    <w:rsid w:val="003C621F"/>
    <w:rsid w:val="003C6BEE"/>
    <w:rsid w:val="003C6D3F"/>
    <w:rsid w:val="003C6E3D"/>
    <w:rsid w:val="003C7231"/>
    <w:rsid w:val="003C734F"/>
    <w:rsid w:val="003C73C0"/>
    <w:rsid w:val="003C7763"/>
    <w:rsid w:val="003C7CA5"/>
    <w:rsid w:val="003D0625"/>
    <w:rsid w:val="003D08C6"/>
    <w:rsid w:val="003D09E0"/>
    <w:rsid w:val="003D0C4C"/>
    <w:rsid w:val="003D0F9C"/>
    <w:rsid w:val="003D0FF9"/>
    <w:rsid w:val="003D12E4"/>
    <w:rsid w:val="003D1862"/>
    <w:rsid w:val="003D1B08"/>
    <w:rsid w:val="003D1EB7"/>
    <w:rsid w:val="003D2188"/>
    <w:rsid w:val="003D21B8"/>
    <w:rsid w:val="003D24C1"/>
    <w:rsid w:val="003D2544"/>
    <w:rsid w:val="003D270B"/>
    <w:rsid w:val="003D28DE"/>
    <w:rsid w:val="003D2944"/>
    <w:rsid w:val="003D2B2D"/>
    <w:rsid w:val="003D3129"/>
    <w:rsid w:val="003D3346"/>
    <w:rsid w:val="003D33DB"/>
    <w:rsid w:val="003D3A4F"/>
    <w:rsid w:val="003D3C87"/>
    <w:rsid w:val="003D3CA6"/>
    <w:rsid w:val="003D3D2A"/>
    <w:rsid w:val="003D3DCF"/>
    <w:rsid w:val="003D3E6E"/>
    <w:rsid w:val="003D410D"/>
    <w:rsid w:val="003D4221"/>
    <w:rsid w:val="003D42A2"/>
    <w:rsid w:val="003D4616"/>
    <w:rsid w:val="003D4656"/>
    <w:rsid w:val="003D471A"/>
    <w:rsid w:val="003D4BA4"/>
    <w:rsid w:val="003D5830"/>
    <w:rsid w:val="003D583B"/>
    <w:rsid w:val="003D5C31"/>
    <w:rsid w:val="003D5EDF"/>
    <w:rsid w:val="003D5EF4"/>
    <w:rsid w:val="003D601A"/>
    <w:rsid w:val="003D60DD"/>
    <w:rsid w:val="003D6376"/>
    <w:rsid w:val="003D6B32"/>
    <w:rsid w:val="003D6C85"/>
    <w:rsid w:val="003D6E7A"/>
    <w:rsid w:val="003D6EBB"/>
    <w:rsid w:val="003D6FAA"/>
    <w:rsid w:val="003D71C7"/>
    <w:rsid w:val="003D7563"/>
    <w:rsid w:val="003D762D"/>
    <w:rsid w:val="003D7680"/>
    <w:rsid w:val="003D774B"/>
    <w:rsid w:val="003D7ACA"/>
    <w:rsid w:val="003D7B99"/>
    <w:rsid w:val="003D7C31"/>
    <w:rsid w:val="003D7F98"/>
    <w:rsid w:val="003E07E1"/>
    <w:rsid w:val="003E0903"/>
    <w:rsid w:val="003E09A2"/>
    <w:rsid w:val="003E0B3D"/>
    <w:rsid w:val="003E0B48"/>
    <w:rsid w:val="003E0DB0"/>
    <w:rsid w:val="003E11BE"/>
    <w:rsid w:val="003E1288"/>
    <w:rsid w:val="003E143D"/>
    <w:rsid w:val="003E191C"/>
    <w:rsid w:val="003E1939"/>
    <w:rsid w:val="003E196E"/>
    <w:rsid w:val="003E1BC2"/>
    <w:rsid w:val="003E219A"/>
    <w:rsid w:val="003E2294"/>
    <w:rsid w:val="003E2424"/>
    <w:rsid w:val="003E2841"/>
    <w:rsid w:val="003E2883"/>
    <w:rsid w:val="003E28FB"/>
    <w:rsid w:val="003E29EB"/>
    <w:rsid w:val="003E2F9E"/>
    <w:rsid w:val="003E33A2"/>
    <w:rsid w:val="003E3A31"/>
    <w:rsid w:val="003E3BE5"/>
    <w:rsid w:val="003E40A8"/>
    <w:rsid w:val="003E4497"/>
    <w:rsid w:val="003E45EF"/>
    <w:rsid w:val="003E4672"/>
    <w:rsid w:val="003E4698"/>
    <w:rsid w:val="003E483F"/>
    <w:rsid w:val="003E48C2"/>
    <w:rsid w:val="003E49E4"/>
    <w:rsid w:val="003E4B5C"/>
    <w:rsid w:val="003E4C25"/>
    <w:rsid w:val="003E4FDB"/>
    <w:rsid w:val="003E4FE2"/>
    <w:rsid w:val="003E532E"/>
    <w:rsid w:val="003E5439"/>
    <w:rsid w:val="003E5570"/>
    <w:rsid w:val="003E590A"/>
    <w:rsid w:val="003E5A2D"/>
    <w:rsid w:val="003E5D5B"/>
    <w:rsid w:val="003E6198"/>
    <w:rsid w:val="003E64CD"/>
    <w:rsid w:val="003E66A9"/>
    <w:rsid w:val="003E68D3"/>
    <w:rsid w:val="003E6F86"/>
    <w:rsid w:val="003E70F1"/>
    <w:rsid w:val="003E7223"/>
    <w:rsid w:val="003E725B"/>
    <w:rsid w:val="003E7498"/>
    <w:rsid w:val="003E74DA"/>
    <w:rsid w:val="003E758F"/>
    <w:rsid w:val="003E7A8D"/>
    <w:rsid w:val="003E7C43"/>
    <w:rsid w:val="003E7E2D"/>
    <w:rsid w:val="003F000A"/>
    <w:rsid w:val="003F00E4"/>
    <w:rsid w:val="003F05E2"/>
    <w:rsid w:val="003F0A7D"/>
    <w:rsid w:val="003F0B4B"/>
    <w:rsid w:val="003F106F"/>
    <w:rsid w:val="003F1188"/>
    <w:rsid w:val="003F1483"/>
    <w:rsid w:val="003F172A"/>
    <w:rsid w:val="003F185A"/>
    <w:rsid w:val="003F1E29"/>
    <w:rsid w:val="003F1E5F"/>
    <w:rsid w:val="003F20B9"/>
    <w:rsid w:val="003F2318"/>
    <w:rsid w:val="003F252F"/>
    <w:rsid w:val="003F2554"/>
    <w:rsid w:val="003F261C"/>
    <w:rsid w:val="003F26AA"/>
    <w:rsid w:val="003F2CA1"/>
    <w:rsid w:val="003F3350"/>
    <w:rsid w:val="003F35D6"/>
    <w:rsid w:val="003F377E"/>
    <w:rsid w:val="003F37E5"/>
    <w:rsid w:val="003F3AB7"/>
    <w:rsid w:val="003F3DA5"/>
    <w:rsid w:val="003F3DEA"/>
    <w:rsid w:val="003F3E0C"/>
    <w:rsid w:val="003F3E92"/>
    <w:rsid w:val="003F3FC7"/>
    <w:rsid w:val="003F43EA"/>
    <w:rsid w:val="003F459F"/>
    <w:rsid w:val="003F4714"/>
    <w:rsid w:val="003F47DB"/>
    <w:rsid w:val="003F4B2F"/>
    <w:rsid w:val="003F4C9A"/>
    <w:rsid w:val="003F4CAA"/>
    <w:rsid w:val="003F514C"/>
    <w:rsid w:val="003F53B6"/>
    <w:rsid w:val="003F553D"/>
    <w:rsid w:val="003F5614"/>
    <w:rsid w:val="003F5633"/>
    <w:rsid w:val="003F5A07"/>
    <w:rsid w:val="003F5A8D"/>
    <w:rsid w:val="003F5EA6"/>
    <w:rsid w:val="003F5F16"/>
    <w:rsid w:val="003F6189"/>
    <w:rsid w:val="003F61F8"/>
    <w:rsid w:val="003F6593"/>
    <w:rsid w:val="003F6788"/>
    <w:rsid w:val="003F6965"/>
    <w:rsid w:val="003F6AD1"/>
    <w:rsid w:val="003F7013"/>
    <w:rsid w:val="003F7057"/>
    <w:rsid w:val="003F7282"/>
    <w:rsid w:val="003F73D0"/>
    <w:rsid w:val="003F7411"/>
    <w:rsid w:val="003F751E"/>
    <w:rsid w:val="003F7FBE"/>
    <w:rsid w:val="0040007D"/>
    <w:rsid w:val="004002DE"/>
    <w:rsid w:val="00400421"/>
    <w:rsid w:val="004009C4"/>
    <w:rsid w:val="00400ABD"/>
    <w:rsid w:val="00400F90"/>
    <w:rsid w:val="00401034"/>
    <w:rsid w:val="004016DA"/>
    <w:rsid w:val="004018FA"/>
    <w:rsid w:val="00401A34"/>
    <w:rsid w:val="00401A92"/>
    <w:rsid w:val="00401B68"/>
    <w:rsid w:val="00401DDD"/>
    <w:rsid w:val="00401E15"/>
    <w:rsid w:val="00401EEE"/>
    <w:rsid w:val="004028A4"/>
    <w:rsid w:val="0040294C"/>
    <w:rsid w:val="0040299E"/>
    <w:rsid w:val="00402C5B"/>
    <w:rsid w:val="00402C7B"/>
    <w:rsid w:val="00402D3A"/>
    <w:rsid w:val="00402E82"/>
    <w:rsid w:val="004030E8"/>
    <w:rsid w:val="0040340C"/>
    <w:rsid w:val="00403577"/>
    <w:rsid w:val="004035C3"/>
    <w:rsid w:val="00403871"/>
    <w:rsid w:val="0040394C"/>
    <w:rsid w:val="00403F3B"/>
    <w:rsid w:val="00404278"/>
    <w:rsid w:val="00404286"/>
    <w:rsid w:val="004043BE"/>
    <w:rsid w:val="00404475"/>
    <w:rsid w:val="00404550"/>
    <w:rsid w:val="004046AD"/>
    <w:rsid w:val="004046B9"/>
    <w:rsid w:val="00404A05"/>
    <w:rsid w:val="00404B72"/>
    <w:rsid w:val="00404D07"/>
    <w:rsid w:val="00404DAC"/>
    <w:rsid w:val="00404ED2"/>
    <w:rsid w:val="0040507E"/>
    <w:rsid w:val="0040515E"/>
    <w:rsid w:val="00405170"/>
    <w:rsid w:val="004051A8"/>
    <w:rsid w:val="0040526E"/>
    <w:rsid w:val="004053B9"/>
    <w:rsid w:val="004057D2"/>
    <w:rsid w:val="004058D0"/>
    <w:rsid w:val="004058F0"/>
    <w:rsid w:val="00405963"/>
    <w:rsid w:val="004065EB"/>
    <w:rsid w:val="00406A19"/>
    <w:rsid w:val="00406C5F"/>
    <w:rsid w:val="00406DAA"/>
    <w:rsid w:val="0040717D"/>
    <w:rsid w:val="00407352"/>
    <w:rsid w:val="0040749C"/>
    <w:rsid w:val="00407781"/>
    <w:rsid w:val="0040794F"/>
    <w:rsid w:val="00407984"/>
    <w:rsid w:val="00407A1F"/>
    <w:rsid w:val="00407C5B"/>
    <w:rsid w:val="00410234"/>
    <w:rsid w:val="004102B0"/>
    <w:rsid w:val="00410322"/>
    <w:rsid w:val="004105C1"/>
    <w:rsid w:val="00410626"/>
    <w:rsid w:val="004106C1"/>
    <w:rsid w:val="00410806"/>
    <w:rsid w:val="004108E1"/>
    <w:rsid w:val="00411217"/>
    <w:rsid w:val="0041122E"/>
    <w:rsid w:val="00411531"/>
    <w:rsid w:val="0041164B"/>
    <w:rsid w:val="00411707"/>
    <w:rsid w:val="004117B7"/>
    <w:rsid w:val="004119FA"/>
    <w:rsid w:val="00411C22"/>
    <w:rsid w:val="00411C3E"/>
    <w:rsid w:val="00412233"/>
    <w:rsid w:val="0041266B"/>
    <w:rsid w:val="0041272E"/>
    <w:rsid w:val="00412B62"/>
    <w:rsid w:val="00412C8B"/>
    <w:rsid w:val="00412DAC"/>
    <w:rsid w:val="00412E87"/>
    <w:rsid w:val="00412F06"/>
    <w:rsid w:val="00412FA8"/>
    <w:rsid w:val="00412FAA"/>
    <w:rsid w:val="00413223"/>
    <w:rsid w:val="00413345"/>
    <w:rsid w:val="0041339F"/>
    <w:rsid w:val="004133F5"/>
    <w:rsid w:val="0041360A"/>
    <w:rsid w:val="00413629"/>
    <w:rsid w:val="00413877"/>
    <w:rsid w:val="00413FC6"/>
    <w:rsid w:val="00414151"/>
    <w:rsid w:val="0041447A"/>
    <w:rsid w:val="004144E2"/>
    <w:rsid w:val="00414577"/>
    <w:rsid w:val="004148FA"/>
    <w:rsid w:val="00414C7F"/>
    <w:rsid w:val="0041533F"/>
    <w:rsid w:val="004153E9"/>
    <w:rsid w:val="00415747"/>
    <w:rsid w:val="004157BD"/>
    <w:rsid w:val="00415B51"/>
    <w:rsid w:val="00415D5A"/>
    <w:rsid w:val="00415EDC"/>
    <w:rsid w:val="0041608C"/>
    <w:rsid w:val="00416120"/>
    <w:rsid w:val="0041620C"/>
    <w:rsid w:val="00416231"/>
    <w:rsid w:val="004163B0"/>
    <w:rsid w:val="0041657F"/>
    <w:rsid w:val="0041667B"/>
    <w:rsid w:val="0041678D"/>
    <w:rsid w:val="004168E5"/>
    <w:rsid w:val="00416E13"/>
    <w:rsid w:val="00417439"/>
    <w:rsid w:val="00417699"/>
    <w:rsid w:val="0041770D"/>
    <w:rsid w:val="00417714"/>
    <w:rsid w:val="00417CD3"/>
    <w:rsid w:val="00417F4B"/>
    <w:rsid w:val="00420355"/>
    <w:rsid w:val="004204C9"/>
    <w:rsid w:val="00420536"/>
    <w:rsid w:val="00420700"/>
    <w:rsid w:val="004209B9"/>
    <w:rsid w:val="00420A89"/>
    <w:rsid w:val="00420A93"/>
    <w:rsid w:val="00420BA9"/>
    <w:rsid w:val="00420CEE"/>
    <w:rsid w:val="0042114B"/>
    <w:rsid w:val="004212AC"/>
    <w:rsid w:val="00421463"/>
    <w:rsid w:val="004218EC"/>
    <w:rsid w:val="00421B28"/>
    <w:rsid w:val="00421E3F"/>
    <w:rsid w:val="00421ECE"/>
    <w:rsid w:val="00422112"/>
    <w:rsid w:val="00422150"/>
    <w:rsid w:val="004221DD"/>
    <w:rsid w:val="00422255"/>
    <w:rsid w:val="004222A9"/>
    <w:rsid w:val="004224CB"/>
    <w:rsid w:val="0042253D"/>
    <w:rsid w:val="00422DB5"/>
    <w:rsid w:val="00422DC3"/>
    <w:rsid w:val="00422F9B"/>
    <w:rsid w:val="004232CA"/>
    <w:rsid w:val="004233A5"/>
    <w:rsid w:val="004238C5"/>
    <w:rsid w:val="00423AFB"/>
    <w:rsid w:val="00423BAB"/>
    <w:rsid w:val="00423BE0"/>
    <w:rsid w:val="00423E45"/>
    <w:rsid w:val="00423F49"/>
    <w:rsid w:val="00423FE3"/>
    <w:rsid w:val="0042402A"/>
    <w:rsid w:val="004243F0"/>
    <w:rsid w:val="00424462"/>
    <w:rsid w:val="00424C83"/>
    <w:rsid w:val="00424FD2"/>
    <w:rsid w:val="004252BC"/>
    <w:rsid w:val="00425434"/>
    <w:rsid w:val="00425580"/>
    <w:rsid w:val="00425BB8"/>
    <w:rsid w:val="00425CB3"/>
    <w:rsid w:val="00425DA4"/>
    <w:rsid w:val="00426050"/>
    <w:rsid w:val="0042628B"/>
    <w:rsid w:val="00426467"/>
    <w:rsid w:val="004264EF"/>
    <w:rsid w:val="00426563"/>
    <w:rsid w:val="00426DC2"/>
    <w:rsid w:val="00426F4E"/>
    <w:rsid w:val="0042709F"/>
    <w:rsid w:val="0042720C"/>
    <w:rsid w:val="00427256"/>
    <w:rsid w:val="004276CF"/>
    <w:rsid w:val="0043034F"/>
    <w:rsid w:val="00430AC9"/>
    <w:rsid w:val="00430D21"/>
    <w:rsid w:val="00430DB0"/>
    <w:rsid w:val="00430E31"/>
    <w:rsid w:val="0043107A"/>
    <w:rsid w:val="004312ED"/>
    <w:rsid w:val="004316A2"/>
    <w:rsid w:val="004316ED"/>
    <w:rsid w:val="004318D8"/>
    <w:rsid w:val="00431B6D"/>
    <w:rsid w:val="00431D4B"/>
    <w:rsid w:val="00431E5B"/>
    <w:rsid w:val="00431E72"/>
    <w:rsid w:val="00431EA5"/>
    <w:rsid w:val="004321A6"/>
    <w:rsid w:val="00432237"/>
    <w:rsid w:val="004326CA"/>
    <w:rsid w:val="004328B7"/>
    <w:rsid w:val="00432E12"/>
    <w:rsid w:val="00432E45"/>
    <w:rsid w:val="00433235"/>
    <w:rsid w:val="00433411"/>
    <w:rsid w:val="00433610"/>
    <w:rsid w:val="00433BBC"/>
    <w:rsid w:val="00434318"/>
    <w:rsid w:val="0043444F"/>
    <w:rsid w:val="0043454E"/>
    <w:rsid w:val="004346CE"/>
    <w:rsid w:val="004347DB"/>
    <w:rsid w:val="0043482F"/>
    <w:rsid w:val="00434E38"/>
    <w:rsid w:val="0043511C"/>
    <w:rsid w:val="004352A2"/>
    <w:rsid w:val="004352CF"/>
    <w:rsid w:val="00435489"/>
    <w:rsid w:val="00435870"/>
    <w:rsid w:val="00435CA8"/>
    <w:rsid w:val="0043632B"/>
    <w:rsid w:val="00436448"/>
    <w:rsid w:val="0043645B"/>
    <w:rsid w:val="00436868"/>
    <w:rsid w:val="00436B22"/>
    <w:rsid w:val="00436C38"/>
    <w:rsid w:val="00436D49"/>
    <w:rsid w:val="00436E47"/>
    <w:rsid w:val="00437273"/>
    <w:rsid w:val="00437685"/>
    <w:rsid w:val="0043786A"/>
    <w:rsid w:val="00440144"/>
    <w:rsid w:val="004402B0"/>
    <w:rsid w:val="0044038A"/>
    <w:rsid w:val="004403EE"/>
    <w:rsid w:val="00440D37"/>
    <w:rsid w:val="00441365"/>
    <w:rsid w:val="00441436"/>
    <w:rsid w:val="00441690"/>
    <w:rsid w:val="0044181D"/>
    <w:rsid w:val="00441869"/>
    <w:rsid w:val="00441925"/>
    <w:rsid w:val="0044193A"/>
    <w:rsid w:val="00441CDF"/>
    <w:rsid w:val="00442117"/>
    <w:rsid w:val="00442557"/>
    <w:rsid w:val="004429F6"/>
    <w:rsid w:val="00442B41"/>
    <w:rsid w:val="0044303E"/>
    <w:rsid w:val="004430C7"/>
    <w:rsid w:val="0044315F"/>
    <w:rsid w:val="00443615"/>
    <w:rsid w:val="00443ABF"/>
    <w:rsid w:val="00443B03"/>
    <w:rsid w:val="00443C60"/>
    <w:rsid w:val="00443C9C"/>
    <w:rsid w:val="00443E4C"/>
    <w:rsid w:val="00443E6C"/>
    <w:rsid w:val="004443B7"/>
    <w:rsid w:val="004445B5"/>
    <w:rsid w:val="004445FE"/>
    <w:rsid w:val="0044476E"/>
    <w:rsid w:val="004448B3"/>
    <w:rsid w:val="00444C05"/>
    <w:rsid w:val="00444E66"/>
    <w:rsid w:val="004450F0"/>
    <w:rsid w:val="004451F8"/>
    <w:rsid w:val="004454AF"/>
    <w:rsid w:val="00445945"/>
    <w:rsid w:val="00445A79"/>
    <w:rsid w:val="00445B71"/>
    <w:rsid w:val="00445BD3"/>
    <w:rsid w:val="00445E90"/>
    <w:rsid w:val="004460AA"/>
    <w:rsid w:val="004460DB"/>
    <w:rsid w:val="004463D6"/>
    <w:rsid w:val="00446406"/>
    <w:rsid w:val="00446453"/>
    <w:rsid w:val="0044652A"/>
    <w:rsid w:val="0044699E"/>
    <w:rsid w:val="00446A07"/>
    <w:rsid w:val="00446B8F"/>
    <w:rsid w:val="00446E97"/>
    <w:rsid w:val="00446F59"/>
    <w:rsid w:val="00447134"/>
    <w:rsid w:val="00447309"/>
    <w:rsid w:val="00447538"/>
    <w:rsid w:val="004475C4"/>
    <w:rsid w:val="004477C5"/>
    <w:rsid w:val="0044788B"/>
    <w:rsid w:val="00447B36"/>
    <w:rsid w:val="00447D55"/>
    <w:rsid w:val="00450078"/>
    <w:rsid w:val="004502E5"/>
    <w:rsid w:val="00450319"/>
    <w:rsid w:val="00450391"/>
    <w:rsid w:val="00450671"/>
    <w:rsid w:val="004509E8"/>
    <w:rsid w:val="00450B70"/>
    <w:rsid w:val="00450CCD"/>
    <w:rsid w:val="00450CEC"/>
    <w:rsid w:val="00450D7C"/>
    <w:rsid w:val="00450DB9"/>
    <w:rsid w:val="00450E93"/>
    <w:rsid w:val="00450EA9"/>
    <w:rsid w:val="00451202"/>
    <w:rsid w:val="004512CA"/>
    <w:rsid w:val="00451487"/>
    <w:rsid w:val="004514C6"/>
    <w:rsid w:val="0045175E"/>
    <w:rsid w:val="004525B3"/>
    <w:rsid w:val="00452659"/>
    <w:rsid w:val="004532BA"/>
    <w:rsid w:val="004535C7"/>
    <w:rsid w:val="00453A92"/>
    <w:rsid w:val="00453CB8"/>
    <w:rsid w:val="00454219"/>
    <w:rsid w:val="004543DD"/>
    <w:rsid w:val="00454514"/>
    <w:rsid w:val="00454713"/>
    <w:rsid w:val="0045489B"/>
    <w:rsid w:val="00454915"/>
    <w:rsid w:val="00454B88"/>
    <w:rsid w:val="00454CA0"/>
    <w:rsid w:val="00454F4E"/>
    <w:rsid w:val="00454F7D"/>
    <w:rsid w:val="00454FAA"/>
    <w:rsid w:val="00455102"/>
    <w:rsid w:val="004551E3"/>
    <w:rsid w:val="0045546C"/>
    <w:rsid w:val="00455BB4"/>
    <w:rsid w:val="00455D93"/>
    <w:rsid w:val="00455FCB"/>
    <w:rsid w:val="004561D2"/>
    <w:rsid w:val="00456270"/>
    <w:rsid w:val="004564C4"/>
    <w:rsid w:val="00456903"/>
    <w:rsid w:val="0045698B"/>
    <w:rsid w:val="00456A82"/>
    <w:rsid w:val="00456DC7"/>
    <w:rsid w:val="00456EBF"/>
    <w:rsid w:val="004573DB"/>
    <w:rsid w:val="0045769A"/>
    <w:rsid w:val="00457840"/>
    <w:rsid w:val="004578C3"/>
    <w:rsid w:val="004579B6"/>
    <w:rsid w:val="004579C4"/>
    <w:rsid w:val="00457C7D"/>
    <w:rsid w:val="00457CBC"/>
    <w:rsid w:val="00457CBE"/>
    <w:rsid w:val="00457CD5"/>
    <w:rsid w:val="00457EB1"/>
    <w:rsid w:val="00460029"/>
    <w:rsid w:val="0046006E"/>
    <w:rsid w:val="004600AC"/>
    <w:rsid w:val="0046049F"/>
    <w:rsid w:val="00460814"/>
    <w:rsid w:val="00460936"/>
    <w:rsid w:val="004609F3"/>
    <w:rsid w:val="00460CA9"/>
    <w:rsid w:val="0046101A"/>
    <w:rsid w:val="004617EE"/>
    <w:rsid w:val="00461C97"/>
    <w:rsid w:val="00461E49"/>
    <w:rsid w:val="00461E82"/>
    <w:rsid w:val="00461ECF"/>
    <w:rsid w:val="00461F22"/>
    <w:rsid w:val="00461F31"/>
    <w:rsid w:val="00461FAA"/>
    <w:rsid w:val="004623A8"/>
    <w:rsid w:val="00462573"/>
    <w:rsid w:val="004625D4"/>
    <w:rsid w:val="00462BC0"/>
    <w:rsid w:val="00462D57"/>
    <w:rsid w:val="004637EE"/>
    <w:rsid w:val="004638CA"/>
    <w:rsid w:val="00463AA8"/>
    <w:rsid w:val="00463B74"/>
    <w:rsid w:val="00463DB3"/>
    <w:rsid w:val="00464244"/>
    <w:rsid w:val="00464284"/>
    <w:rsid w:val="004642E4"/>
    <w:rsid w:val="00464398"/>
    <w:rsid w:val="00464B19"/>
    <w:rsid w:val="00464B31"/>
    <w:rsid w:val="00464C8E"/>
    <w:rsid w:val="00465491"/>
    <w:rsid w:val="00465778"/>
    <w:rsid w:val="00465BEA"/>
    <w:rsid w:val="00465FD0"/>
    <w:rsid w:val="004661B2"/>
    <w:rsid w:val="004661EA"/>
    <w:rsid w:val="004667C6"/>
    <w:rsid w:val="004667E9"/>
    <w:rsid w:val="004667F9"/>
    <w:rsid w:val="004668C6"/>
    <w:rsid w:val="00466A02"/>
    <w:rsid w:val="00466BD9"/>
    <w:rsid w:val="00467079"/>
    <w:rsid w:val="00467427"/>
    <w:rsid w:val="00467429"/>
    <w:rsid w:val="004675D3"/>
    <w:rsid w:val="00467775"/>
    <w:rsid w:val="004677AC"/>
    <w:rsid w:val="00467A00"/>
    <w:rsid w:val="00467D1A"/>
    <w:rsid w:val="00467E8A"/>
    <w:rsid w:val="004700C3"/>
    <w:rsid w:val="004702D9"/>
    <w:rsid w:val="004703CD"/>
    <w:rsid w:val="0047074A"/>
    <w:rsid w:val="00470A0A"/>
    <w:rsid w:val="00470D9E"/>
    <w:rsid w:val="00470DE9"/>
    <w:rsid w:val="00470FD6"/>
    <w:rsid w:val="00471A2C"/>
    <w:rsid w:val="00471AA8"/>
    <w:rsid w:val="00471BA6"/>
    <w:rsid w:val="00471CF2"/>
    <w:rsid w:val="00471FDB"/>
    <w:rsid w:val="004726F8"/>
    <w:rsid w:val="0047291C"/>
    <w:rsid w:val="00472936"/>
    <w:rsid w:val="00472C8E"/>
    <w:rsid w:val="00472D5F"/>
    <w:rsid w:val="00472DF8"/>
    <w:rsid w:val="00473693"/>
    <w:rsid w:val="004737AF"/>
    <w:rsid w:val="004739A7"/>
    <w:rsid w:val="004739D0"/>
    <w:rsid w:val="00473A0D"/>
    <w:rsid w:val="00474252"/>
    <w:rsid w:val="00474484"/>
    <w:rsid w:val="00474496"/>
    <w:rsid w:val="00474B49"/>
    <w:rsid w:val="00474BA7"/>
    <w:rsid w:val="00474CC0"/>
    <w:rsid w:val="00474DBF"/>
    <w:rsid w:val="00474E53"/>
    <w:rsid w:val="00475068"/>
    <w:rsid w:val="00475098"/>
    <w:rsid w:val="00475100"/>
    <w:rsid w:val="004751C4"/>
    <w:rsid w:val="00475562"/>
    <w:rsid w:val="004756C6"/>
    <w:rsid w:val="004756F2"/>
    <w:rsid w:val="00475723"/>
    <w:rsid w:val="00475735"/>
    <w:rsid w:val="00475DCB"/>
    <w:rsid w:val="00476511"/>
    <w:rsid w:val="004765B9"/>
    <w:rsid w:val="00476831"/>
    <w:rsid w:val="00476C3D"/>
    <w:rsid w:val="00476CC5"/>
    <w:rsid w:val="00476CF1"/>
    <w:rsid w:val="00476F02"/>
    <w:rsid w:val="00476F29"/>
    <w:rsid w:val="004771D4"/>
    <w:rsid w:val="004773E5"/>
    <w:rsid w:val="004776C8"/>
    <w:rsid w:val="0047770A"/>
    <w:rsid w:val="004778E2"/>
    <w:rsid w:val="00477954"/>
    <w:rsid w:val="00477D4D"/>
    <w:rsid w:val="00477D86"/>
    <w:rsid w:val="00477F16"/>
    <w:rsid w:val="004801F5"/>
    <w:rsid w:val="0048071B"/>
    <w:rsid w:val="00480735"/>
    <w:rsid w:val="004807E8"/>
    <w:rsid w:val="00480874"/>
    <w:rsid w:val="00480ADC"/>
    <w:rsid w:val="00480B94"/>
    <w:rsid w:val="00480BD7"/>
    <w:rsid w:val="00480C5B"/>
    <w:rsid w:val="00480D1E"/>
    <w:rsid w:val="00480EE4"/>
    <w:rsid w:val="00480F29"/>
    <w:rsid w:val="004812E9"/>
    <w:rsid w:val="00481618"/>
    <w:rsid w:val="00481896"/>
    <w:rsid w:val="00481B0D"/>
    <w:rsid w:val="00481BD6"/>
    <w:rsid w:val="00481D88"/>
    <w:rsid w:val="00481F9F"/>
    <w:rsid w:val="0048208C"/>
    <w:rsid w:val="0048247A"/>
    <w:rsid w:val="004828EF"/>
    <w:rsid w:val="0048297C"/>
    <w:rsid w:val="00482AF7"/>
    <w:rsid w:val="00482CAD"/>
    <w:rsid w:val="00483126"/>
    <w:rsid w:val="0048331A"/>
    <w:rsid w:val="00483731"/>
    <w:rsid w:val="004837C5"/>
    <w:rsid w:val="00483871"/>
    <w:rsid w:val="004838EA"/>
    <w:rsid w:val="00483B0B"/>
    <w:rsid w:val="00483B50"/>
    <w:rsid w:val="00483D9B"/>
    <w:rsid w:val="0048426F"/>
    <w:rsid w:val="004842DD"/>
    <w:rsid w:val="004848F0"/>
    <w:rsid w:val="00484AE5"/>
    <w:rsid w:val="00484B72"/>
    <w:rsid w:val="00484ED1"/>
    <w:rsid w:val="0048552C"/>
    <w:rsid w:val="0048574A"/>
    <w:rsid w:val="004858BC"/>
    <w:rsid w:val="004859E1"/>
    <w:rsid w:val="00485BAA"/>
    <w:rsid w:val="00485CEC"/>
    <w:rsid w:val="00485DF2"/>
    <w:rsid w:val="0048614D"/>
    <w:rsid w:val="004864A2"/>
    <w:rsid w:val="00486B57"/>
    <w:rsid w:val="00486B9B"/>
    <w:rsid w:val="00486D0A"/>
    <w:rsid w:val="0048703A"/>
    <w:rsid w:val="004870CA"/>
    <w:rsid w:val="004872BF"/>
    <w:rsid w:val="004872F4"/>
    <w:rsid w:val="0048738A"/>
    <w:rsid w:val="00487776"/>
    <w:rsid w:val="00487823"/>
    <w:rsid w:val="00487A8A"/>
    <w:rsid w:val="00487F0E"/>
    <w:rsid w:val="004903B2"/>
    <w:rsid w:val="00490588"/>
    <w:rsid w:val="004906EA"/>
    <w:rsid w:val="00490818"/>
    <w:rsid w:val="0049083C"/>
    <w:rsid w:val="00490963"/>
    <w:rsid w:val="004909CB"/>
    <w:rsid w:val="00490B31"/>
    <w:rsid w:val="00490CA4"/>
    <w:rsid w:val="00490FBC"/>
    <w:rsid w:val="00491099"/>
    <w:rsid w:val="004910CC"/>
    <w:rsid w:val="00491139"/>
    <w:rsid w:val="00491471"/>
    <w:rsid w:val="004916C0"/>
    <w:rsid w:val="00491AFD"/>
    <w:rsid w:val="00491B61"/>
    <w:rsid w:val="00491C50"/>
    <w:rsid w:val="00491C9C"/>
    <w:rsid w:val="00491C9E"/>
    <w:rsid w:val="00491D95"/>
    <w:rsid w:val="00491DA9"/>
    <w:rsid w:val="00492219"/>
    <w:rsid w:val="00492326"/>
    <w:rsid w:val="00492387"/>
    <w:rsid w:val="004923CB"/>
    <w:rsid w:val="00492842"/>
    <w:rsid w:val="00492B41"/>
    <w:rsid w:val="0049316C"/>
    <w:rsid w:val="00493186"/>
    <w:rsid w:val="0049339C"/>
    <w:rsid w:val="004933BA"/>
    <w:rsid w:val="0049368B"/>
    <w:rsid w:val="0049383D"/>
    <w:rsid w:val="0049391F"/>
    <w:rsid w:val="00493BC7"/>
    <w:rsid w:val="0049446A"/>
    <w:rsid w:val="004944D7"/>
    <w:rsid w:val="0049473A"/>
    <w:rsid w:val="0049480D"/>
    <w:rsid w:val="0049497E"/>
    <w:rsid w:val="00494A3C"/>
    <w:rsid w:val="00494B2A"/>
    <w:rsid w:val="00494B73"/>
    <w:rsid w:val="00494BD7"/>
    <w:rsid w:val="004951A2"/>
    <w:rsid w:val="00495305"/>
    <w:rsid w:val="00495365"/>
    <w:rsid w:val="004953E1"/>
    <w:rsid w:val="004954BC"/>
    <w:rsid w:val="0049565B"/>
    <w:rsid w:val="00495884"/>
    <w:rsid w:val="00495CEF"/>
    <w:rsid w:val="00495D10"/>
    <w:rsid w:val="00495EA1"/>
    <w:rsid w:val="00496238"/>
    <w:rsid w:val="0049651C"/>
    <w:rsid w:val="0049661C"/>
    <w:rsid w:val="00496E41"/>
    <w:rsid w:val="00496E8E"/>
    <w:rsid w:val="00496FFF"/>
    <w:rsid w:val="0049709F"/>
    <w:rsid w:val="004972A4"/>
    <w:rsid w:val="00497682"/>
    <w:rsid w:val="00497687"/>
    <w:rsid w:val="00497EF1"/>
    <w:rsid w:val="004A012D"/>
    <w:rsid w:val="004A01A4"/>
    <w:rsid w:val="004A0B30"/>
    <w:rsid w:val="004A0D6A"/>
    <w:rsid w:val="004A11FA"/>
    <w:rsid w:val="004A12E9"/>
    <w:rsid w:val="004A1539"/>
    <w:rsid w:val="004A15CB"/>
    <w:rsid w:val="004A1703"/>
    <w:rsid w:val="004A1794"/>
    <w:rsid w:val="004A18D8"/>
    <w:rsid w:val="004A194B"/>
    <w:rsid w:val="004A1996"/>
    <w:rsid w:val="004A1AFE"/>
    <w:rsid w:val="004A1DC4"/>
    <w:rsid w:val="004A1E25"/>
    <w:rsid w:val="004A1FEF"/>
    <w:rsid w:val="004A2011"/>
    <w:rsid w:val="004A2320"/>
    <w:rsid w:val="004A24F0"/>
    <w:rsid w:val="004A289E"/>
    <w:rsid w:val="004A2915"/>
    <w:rsid w:val="004A2AB9"/>
    <w:rsid w:val="004A2ECD"/>
    <w:rsid w:val="004A2F75"/>
    <w:rsid w:val="004A3336"/>
    <w:rsid w:val="004A3800"/>
    <w:rsid w:val="004A3C2A"/>
    <w:rsid w:val="004A3F4C"/>
    <w:rsid w:val="004A3F87"/>
    <w:rsid w:val="004A40A4"/>
    <w:rsid w:val="004A46D0"/>
    <w:rsid w:val="004A4768"/>
    <w:rsid w:val="004A4AD9"/>
    <w:rsid w:val="004A4B5C"/>
    <w:rsid w:val="004A4B6F"/>
    <w:rsid w:val="004A4D00"/>
    <w:rsid w:val="004A4E90"/>
    <w:rsid w:val="004A52C8"/>
    <w:rsid w:val="004A58D9"/>
    <w:rsid w:val="004A59C5"/>
    <w:rsid w:val="004A5A79"/>
    <w:rsid w:val="004A5C39"/>
    <w:rsid w:val="004A5C8E"/>
    <w:rsid w:val="004A5EB7"/>
    <w:rsid w:val="004A61DB"/>
    <w:rsid w:val="004A61F3"/>
    <w:rsid w:val="004A66A8"/>
    <w:rsid w:val="004A6972"/>
    <w:rsid w:val="004A6AFF"/>
    <w:rsid w:val="004A6CD8"/>
    <w:rsid w:val="004A6EA5"/>
    <w:rsid w:val="004A6F1D"/>
    <w:rsid w:val="004A6FE1"/>
    <w:rsid w:val="004A727A"/>
    <w:rsid w:val="004A72D2"/>
    <w:rsid w:val="004A7331"/>
    <w:rsid w:val="004A78EF"/>
    <w:rsid w:val="004A7A59"/>
    <w:rsid w:val="004A7AAB"/>
    <w:rsid w:val="004A7EB9"/>
    <w:rsid w:val="004B022B"/>
    <w:rsid w:val="004B0530"/>
    <w:rsid w:val="004B0549"/>
    <w:rsid w:val="004B0755"/>
    <w:rsid w:val="004B10E9"/>
    <w:rsid w:val="004B130B"/>
    <w:rsid w:val="004B15C6"/>
    <w:rsid w:val="004B1BD8"/>
    <w:rsid w:val="004B1D53"/>
    <w:rsid w:val="004B2258"/>
    <w:rsid w:val="004B22FA"/>
    <w:rsid w:val="004B2B49"/>
    <w:rsid w:val="004B2B7D"/>
    <w:rsid w:val="004B2BBE"/>
    <w:rsid w:val="004B3129"/>
    <w:rsid w:val="004B3671"/>
    <w:rsid w:val="004B370A"/>
    <w:rsid w:val="004B3DCA"/>
    <w:rsid w:val="004B464E"/>
    <w:rsid w:val="004B48C5"/>
    <w:rsid w:val="004B4E40"/>
    <w:rsid w:val="004B516D"/>
    <w:rsid w:val="004B53E3"/>
    <w:rsid w:val="004B5468"/>
    <w:rsid w:val="004B5685"/>
    <w:rsid w:val="004B57AD"/>
    <w:rsid w:val="004B5A8D"/>
    <w:rsid w:val="004B5B19"/>
    <w:rsid w:val="004B5BA5"/>
    <w:rsid w:val="004B5DE6"/>
    <w:rsid w:val="004B5E6C"/>
    <w:rsid w:val="004B6468"/>
    <w:rsid w:val="004B6645"/>
    <w:rsid w:val="004B66AD"/>
    <w:rsid w:val="004B67F2"/>
    <w:rsid w:val="004B69C7"/>
    <w:rsid w:val="004B69FB"/>
    <w:rsid w:val="004B6B1E"/>
    <w:rsid w:val="004B6C61"/>
    <w:rsid w:val="004B6C67"/>
    <w:rsid w:val="004B6D63"/>
    <w:rsid w:val="004B709F"/>
    <w:rsid w:val="004B7436"/>
    <w:rsid w:val="004B749E"/>
    <w:rsid w:val="004B7577"/>
    <w:rsid w:val="004B76CD"/>
    <w:rsid w:val="004B77E6"/>
    <w:rsid w:val="004B79FE"/>
    <w:rsid w:val="004B7A07"/>
    <w:rsid w:val="004B7BC9"/>
    <w:rsid w:val="004B7E09"/>
    <w:rsid w:val="004B7E51"/>
    <w:rsid w:val="004B7EAC"/>
    <w:rsid w:val="004C0043"/>
    <w:rsid w:val="004C0336"/>
    <w:rsid w:val="004C085C"/>
    <w:rsid w:val="004C0A33"/>
    <w:rsid w:val="004C0AA2"/>
    <w:rsid w:val="004C0CCB"/>
    <w:rsid w:val="004C0CFE"/>
    <w:rsid w:val="004C0E31"/>
    <w:rsid w:val="004C0E9A"/>
    <w:rsid w:val="004C0FEF"/>
    <w:rsid w:val="004C148B"/>
    <w:rsid w:val="004C1541"/>
    <w:rsid w:val="004C15E0"/>
    <w:rsid w:val="004C1603"/>
    <w:rsid w:val="004C1728"/>
    <w:rsid w:val="004C1C33"/>
    <w:rsid w:val="004C1CEA"/>
    <w:rsid w:val="004C1F8C"/>
    <w:rsid w:val="004C203B"/>
    <w:rsid w:val="004C2180"/>
    <w:rsid w:val="004C237F"/>
    <w:rsid w:val="004C24EE"/>
    <w:rsid w:val="004C2963"/>
    <w:rsid w:val="004C2A56"/>
    <w:rsid w:val="004C2AE0"/>
    <w:rsid w:val="004C2AF9"/>
    <w:rsid w:val="004C2F2A"/>
    <w:rsid w:val="004C316C"/>
    <w:rsid w:val="004C31DE"/>
    <w:rsid w:val="004C33FA"/>
    <w:rsid w:val="004C396D"/>
    <w:rsid w:val="004C3BEB"/>
    <w:rsid w:val="004C3E5B"/>
    <w:rsid w:val="004C4230"/>
    <w:rsid w:val="004C4569"/>
    <w:rsid w:val="004C487F"/>
    <w:rsid w:val="004C4A8A"/>
    <w:rsid w:val="004C4B6C"/>
    <w:rsid w:val="004C4D4C"/>
    <w:rsid w:val="004C4F48"/>
    <w:rsid w:val="004C4FF8"/>
    <w:rsid w:val="004C5063"/>
    <w:rsid w:val="004C5157"/>
    <w:rsid w:val="004C5278"/>
    <w:rsid w:val="004C5295"/>
    <w:rsid w:val="004C533E"/>
    <w:rsid w:val="004C5E0A"/>
    <w:rsid w:val="004C5F48"/>
    <w:rsid w:val="004C63B2"/>
    <w:rsid w:val="004C6622"/>
    <w:rsid w:val="004C69F5"/>
    <w:rsid w:val="004C6B2D"/>
    <w:rsid w:val="004C6EFC"/>
    <w:rsid w:val="004C6EFF"/>
    <w:rsid w:val="004C720B"/>
    <w:rsid w:val="004C734F"/>
    <w:rsid w:val="004C7568"/>
    <w:rsid w:val="004C77BA"/>
    <w:rsid w:val="004C781D"/>
    <w:rsid w:val="004C79BE"/>
    <w:rsid w:val="004C7E43"/>
    <w:rsid w:val="004D0193"/>
    <w:rsid w:val="004D05B9"/>
    <w:rsid w:val="004D065F"/>
    <w:rsid w:val="004D08E0"/>
    <w:rsid w:val="004D09D2"/>
    <w:rsid w:val="004D0A16"/>
    <w:rsid w:val="004D0C7C"/>
    <w:rsid w:val="004D0C88"/>
    <w:rsid w:val="004D0F70"/>
    <w:rsid w:val="004D1423"/>
    <w:rsid w:val="004D185F"/>
    <w:rsid w:val="004D1A15"/>
    <w:rsid w:val="004D1A23"/>
    <w:rsid w:val="004D1FB2"/>
    <w:rsid w:val="004D201C"/>
    <w:rsid w:val="004D2249"/>
    <w:rsid w:val="004D2332"/>
    <w:rsid w:val="004D26E8"/>
    <w:rsid w:val="004D2B40"/>
    <w:rsid w:val="004D2D70"/>
    <w:rsid w:val="004D2E58"/>
    <w:rsid w:val="004D337B"/>
    <w:rsid w:val="004D3628"/>
    <w:rsid w:val="004D39A8"/>
    <w:rsid w:val="004D3A25"/>
    <w:rsid w:val="004D4002"/>
    <w:rsid w:val="004D4109"/>
    <w:rsid w:val="004D46EF"/>
    <w:rsid w:val="004D4742"/>
    <w:rsid w:val="004D4A9B"/>
    <w:rsid w:val="004D4B9E"/>
    <w:rsid w:val="004D4C4E"/>
    <w:rsid w:val="004D52BD"/>
    <w:rsid w:val="004D54B0"/>
    <w:rsid w:val="004D554F"/>
    <w:rsid w:val="004D55AD"/>
    <w:rsid w:val="004D56CF"/>
    <w:rsid w:val="004D57BD"/>
    <w:rsid w:val="004D57DE"/>
    <w:rsid w:val="004D5B70"/>
    <w:rsid w:val="004D5D46"/>
    <w:rsid w:val="004D5E38"/>
    <w:rsid w:val="004D624F"/>
    <w:rsid w:val="004D62B6"/>
    <w:rsid w:val="004D6364"/>
    <w:rsid w:val="004D65C7"/>
    <w:rsid w:val="004D6689"/>
    <w:rsid w:val="004D6B2F"/>
    <w:rsid w:val="004D6BA3"/>
    <w:rsid w:val="004D72BC"/>
    <w:rsid w:val="004D7664"/>
    <w:rsid w:val="004D7965"/>
    <w:rsid w:val="004D7E8A"/>
    <w:rsid w:val="004D7EB3"/>
    <w:rsid w:val="004E045E"/>
    <w:rsid w:val="004E05A5"/>
    <w:rsid w:val="004E05D3"/>
    <w:rsid w:val="004E0608"/>
    <w:rsid w:val="004E07D8"/>
    <w:rsid w:val="004E07E8"/>
    <w:rsid w:val="004E08DF"/>
    <w:rsid w:val="004E0C09"/>
    <w:rsid w:val="004E0D07"/>
    <w:rsid w:val="004E0D9C"/>
    <w:rsid w:val="004E0EFB"/>
    <w:rsid w:val="004E1279"/>
    <w:rsid w:val="004E165A"/>
    <w:rsid w:val="004E2348"/>
    <w:rsid w:val="004E23D4"/>
    <w:rsid w:val="004E271F"/>
    <w:rsid w:val="004E2A47"/>
    <w:rsid w:val="004E2AC0"/>
    <w:rsid w:val="004E2CB6"/>
    <w:rsid w:val="004E2DEF"/>
    <w:rsid w:val="004E2F0E"/>
    <w:rsid w:val="004E35A0"/>
    <w:rsid w:val="004E3735"/>
    <w:rsid w:val="004E395A"/>
    <w:rsid w:val="004E3A13"/>
    <w:rsid w:val="004E4105"/>
    <w:rsid w:val="004E430D"/>
    <w:rsid w:val="004E4948"/>
    <w:rsid w:val="004E4B72"/>
    <w:rsid w:val="004E4E56"/>
    <w:rsid w:val="004E5097"/>
    <w:rsid w:val="004E52A4"/>
    <w:rsid w:val="004E532A"/>
    <w:rsid w:val="004E5424"/>
    <w:rsid w:val="004E5450"/>
    <w:rsid w:val="004E54A7"/>
    <w:rsid w:val="004E5733"/>
    <w:rsid w:val="004E5C28"/>
    <w:rsid w:val="004E5F88"/>
    <w:rsid w:val="004E6077"/>
    <w:rsid w:val="004E6427"/>
    <w:rsid w:val="004E67F8"/>
    <w:rsid w:val="004E6CA8"/>
    <w:rsid w:val="004E6F66"/>
    <w:rsid w:val="004E6FFE"/>
    <w:rsid w:val="004E72F9"/>
    <w:rsid w:val="004E76E6"/>
    <w:rsid w:val="004E77C7"/>
    <w:rsid w:val="004E78B2"/>
    <w:rsid w:val="004E78F0"/>
    <w:rsid w:val="004E7A83"/>
    <w:rsid w:val="004E7B6F"/>
    <w:rsid w:val="004E7C82"/>
    <w:rsid w:val="004F0021"/>
    <w:rsid w:val="004F039C"/>
    <w:rsid w:val="004F0850"/>
    <w:rsid w:val="004F120A"/>
    <w:rsid w:val="004F147D"/>
    <w:rsid w:val="004F15D6"/>
    <w:rsid w:val="004F1961"/>
    <w:rsid w:val="004F1988"/>
    <w:rsid w:val="004F1A6A"/>
    <w:rsid w:val="004F1C32"/>
    <w:rsid w:val="004F2A05"/>
    <w:rsid w:val="004F2A16"/>
    <w:rsid w:val="004F2A4B"/>
    <w:rsid w:val="004F2C45"/>
    <w:rsid w:val="004F2DAB"/>
    <w:rsid w:val="004F2E61"/>
    <w:rsid w:val="004F31FB"/>
    <w:rsid w:val="004F3516"/>
    <w:rsid w:val="004F372C"/>
    <w:rsid w:val="004F38DE"/>
    <w:rsid w:val="004F3C97"/>
    <w:rsid w:val="004F441B"/>
    <w:rsid w:val="004F4475"/>
    <w:rsid w:val="004F492A"/>
    <w:rsid w:val="004F49A3"/>
    <w:rsid w:val="004F4AA4"/>
    <w:rsid w:val="004F4C89"/>
    <w:rsid w:val="004F5190"/>
    <w:rsid w:val="004F53D8"/>
    <w:rsid w:val="004F53E9"/>
    <w:rsid w:val="004F5639"/>
    <w:rsid w:val="004F5731"/>
    <w:rsid w:val="004F58C9"/>
    <w:rsid w:val="004F5A05"/>
    <w:rsid w:val="004F5DB9"/>
    <w:rsid w:val="004F5E7A"/>
    <w:rsid w:val="004F5FDA"/>
    <w:rsid w:val="004F60BA"/>
    <w:rsid w:val="004F6D1D"/>
    <w:rsid w:val="004F6DBD"/>
    <w:rsid w:val="004F7035"/>
    <w:rsid w:val="004F713C"/>
    <w:rsid w:val="004F7225"/>
    <w:rsid w:val="004F7286"/>
    <w:rsid w:val="004F74F8"/>
    <w:rsid w:val="004F7878"/>
    <w:rsid w:val="004F7D73"/>
    <w:rsid w:val="004F7E66"/>
    <w:rsid w:val="004F7FBD"/>
    <w:rsid w:val="0050023E"/>
    <w:rsid w:val="0050027B"/>
    <w:rsid w:val="00500460"/>
    <w:rsid w:val="0050081C"/>
    <w:rsid w:val="0050089B"/>
    <w:rsid w:val="00500BA8"/>
    <w:rsid w:val="00500D9E"/>
    <w:rsid w:val="00500DED"/>
    <w:rsid w:val="00500F2D"/>
    <w:rsid w:val="00501250"/>
    <w:rsid w:val="005012FD"/>
    <w:rsid w:val="0050139F"/>
    <w:rsid w:val="00501666"/>
    <w:rsid w:val="00501B30"/>
    <w:rsid w:val="00501BE3"/>
    <w:rsid w:val="00501DF5"/>
    <w:rsid w:val="00501E3E"/>
    <w:rsid w:val="005026B2"/>
    <w:rsid w:val="00502768"/>
    <w:rsid w:val="0050297C"/>
    <w:rsid w:val="005029AB"/>
    <w:rsid w:val="00502CCC"/>
    <w:rsid w:val="00502DA2"/>
    <w:rsid w:val="00503B71"/>
    <w:rsid w:val="005044D3"/>
    <w:rsid w:val="00504712"/>
    <w:rsid w:val="005047B6"/>
    <w:rsid w:val="005049BA"/>
    <w:rsid w:val="00504E21"/>
    <w:rsid w:val="005050AF"/>
    <w:rsid w:val="00505AC0"/>
    <w:rsid w:val="00505AFE"/>
    <w:rsid w:val="00505BB8"/>
    <w:rsid w:val="00505C5A"/>
    <w:rsid w:val="00505CDA"/>
    <w:rsid w:val="00505D3E"/>
    <w:rsid w:val="005062F7"/>
    <w:rsid w:val="0050671E"/>
    <w:rsid w:val="00506BA0"/>
    <w:rsid w:val="00506FE0"/>
    <w:rsid w:val="0050705E"/>
    <w:rsid w:val="00507486"/>
    <w:rsid w:val="005074C2"/>
    <w:rsid w:val="0050778C"/>
    <w:rsid w:val="00507A1B"/>
    <w:rsid w:val="00507C6F"/>
    <w:rsid w:val="00507FE1"/>
    <w:rsid w:val="0051028E"/>
    <w:rsid w:val="005103D7"/>
    <w:rsid w:val="005104CE"/>
    <w:rsid w:val="005107F5"/>
    <w:rsid w:val="00510DEE"/>
    <w:rsid w:val="00510E64"/>
    <w:rsid w:val="005114E4"/>
    <w:rsid w:val="00511978"/>
    <w:rsid w:val="00511B33"/>
    <w:rsid w:val="00511CD1"/>
    <w:rsid w:val="00511FA0"/>
    <w:rsid w:val="005120A1"/>
    <w:rsid w:val="00512135"/>
    <w:rsid w:val="0051241F"/>
    <w:rsid w:val="0051256C"/>
    <w:rsid w:val="005126FB"/>
    <w:rsid w:val="00512892"/>
    <w:rsid w:val="005128D0"/>
    <w:rsid w:val="00512A7A"/>
    <w:rsid w:val="00512C2D"/>
    <w:rsid w:val="00512DFE"/>
    <w:rsid w:val="00512E62"/>
    <w:rsid w:val="00512F23"/>
    <w:rsid w:val="00512F3A"/>
    <w:rsid w:val="00513167"/>
    <w:rsid w:val="00513245"/>
    <w:rsid w:val="005135F4"/>
    <w:rsid w:val="0051378E"/>
    <w:rsid w:val="0051397F"/>
    <w:rsid w:val="00513C9F"/>
    <w:rsid w:val="00513FF6"/>
    <w:rsid w:val="00514AA0"/>
    <w:rsid w:val="00514AB7"/>
    <w:rsid w:val="00514E69"/>
    <w:rsid w:val="0051529F"/>
    <w:rsid w:val="00515534"/>
    <w:rsid w:val="00515805"/>
    <w:rsid w:val="005159ED"/>
    <w:rsid w:val="00515B40"/>
    <w:rsid w:val="0051608F"/>
    <w:rsid w:val="0051645D"/>
    <w:rsid w:val="0051661B"/>
    <w:rsid w:val="00516688"/>
    <w:rsid w:val="00516839"/>
    <w:rsid w:val="00516956"/>
    <w:rsid w:val="00516D44"/>
    <w:rsid w:val="00516EF4"/>
    <w:rsid w:val="00516F02"/>
    <w:rsid w:val="005171F8"/>
    <w:rsid w:val="00517252"/>
    <w:rsid w:val="005173F4"/>
    <w:rsid w:val="00517E53"/>
    <w:rsid w:val="00520508"/>
    <w:rsid w:val="0052058A"/>
    <w:rsid w:val="00520AEA"/>
    <w:rsid w:val="00520E13"/>
    <w:rsid w:val="00521279"/>
    <w:rsid w:val="00521356"/>
    <w:rsid w:val="00521BEB"/>
    <w:rsid w:val="00521FCC"/>
    <w:rsid w:val="00521FD8"/>
    <w:rsid w:val="005221FB"/>
    <w:rsid w:val="0052227F"/>
    <w:rsid w:val="00522300"/>
    <w:rsid w:val="0052258A"/>
    <w:rsid w:val="0052264B"/>
    <w:rsid w:val="005226C7"/>
    <w:rsid w:val="0052278C"/>
    <w:rsid w:val="005228C1"/>
    <w:rsid w:val="00522AB6"/>
    <w:rsid w:val="00522B46"/>
    <w:rsid w:val="00522C93"/>
    <w:rsid w:val="00522D38"/>
    <w:rsid w:val="00522E52"/>
    <w:rsid w:val="0052342D"/>
    <w:rsid w:val="00523A7C"/>
    <w:rsid w:val="00523AFE"/>
    <w:rsid w:val="00523CDE"/>
    <w:rsid w:val="00523EE0"/>
    <w:rsid w:val="00524471"/>
    <w:rsid w:val="005246BF"/>
    <w:rsid w:val="00524893"/>
    <w:rsid w:val="00524BE5"/>
    <w:rsid w:val="00524CFB"/>
    <w:rsid w:val="00524DCD"/>
    <w:rsid w:val="00524E98"/>
    <w:rsid w:val="00524F4C"/>
    <w:rsid w:val="005251A1"/>
    <w:rsid w:val="0052556A"/>
    <w:rsid w:val="00525936"/>
    <w:rsid w:val="00525C2B"/>
    <w:rsid w:val="00525D2F"/>
    <w:rsid w:val="0052622C"/>
    <w:rsid w:val="0052638B"/>
    <w:rsid w:val="00526648"/>
    <w:rsid w:val="00526736"/>
    <w:rsid w:val="00526846"/>
    <w:rsid w:val="00526CEA"/>
    <w:rsid w:val="00526D4E"/>
    <w:rsid w:val="00526E62"/>
    <w:rsid w:val="005271C8"/>
    <w:rsid w:val="005274CA"/>
    <w:rsid w:val="00527743"/>
    <w:rsid w:val="005277ED"/>
    <w:rsid w:val="00527AAB"/>
    <w:rsid w:val="00527ABD"/>
    <w:rsid w:val="00527C73"/>
    <w:rsid w:val="00527CEB"/>
    <w:rsid w:val="00527E6D"/>
    <w:rsid w:val="0053024A"/>
    <w:rsid w:val="005302AE"/>
    <w:rsid w:val="0053030B"/>
    <w:rsid w:val="00530314"/>
    <w:rsid w:val="0053032B"/>
    <w:rsid w:val="0053034D"/>
    <w:rsid w:val="00530413"/>
    <w:rsid w:val="00530465"/>
    <w:rsid w:val="005304C5"/>
    <w:rsid w:val="00530643"/>
    <w:rsid w:val="0053067A"/>
    <w:rsid w:val="0053079B"/>
    <w:rsid w:val="005309B3"/>
    <w:rsid w:val="00530DB7"/>
    <w:rsid w:val="00530F32"/>
    <w:rsid w:val="00530FFA"/>
    <w:rsid w:val="005313EF"/>
    <w:rsid w:val="005315BA"/>
    <w:rsid w:val="005316A5"/>
    <w:rsid w:val="005316AD"/>
    <w:rsid w:val="00531863"/>
    <w:rsid w:val="00531A70"/>
    <w:rsid w:val="00531AE1"/>
    <w:rsid w:val="00531B7F"/>
    <w:rsid w:val="00531C91"/>
    <w:rsid w:val="005323EA"/>
    <w:rsid w:val="005324FC"/>
    <w:rsid w:val="00532B29"/>
    <w:rsid w:val="00532D1E"/>
    <w:rsid w:val="00532E08"/>
    <w:rsid w:val="00532E4F"/>
    <w:rsid w:val="0053338E"/>
    <w:rsid w:val="005333FE"/>
    <w:rsid w:val="00533519"/>
    <w:rsid w:val="005336C9"/>
    <w:rsid w:val="00533A8A"/>
    <w:rsid w:val="00533F5B"/>
    <w:rsid w:val="0053409C"/>
    <w:rsid w:val="005342FC"/>
    <w:rsid w:val="00534345"/>
    <w:rsid w:val="005344D9"/>
    <w:rsid w:val="005346BB"/>
    <w:rsid w:val="00534ACE"/>
    <w:rsid w:val="00534B4D"/>
    <w:rsid w:val="00534FCD"/>
    <w:rsid w:val="005350CB"/>
    <w:rsid w:val="005354E2"/>
    <w:rsid w:val="005356C3"/>
    <w:rsid w:val="00535AC8"/>
    <w:rsid w:val="00535B2B"/>
    <w:rsid w:val="00535B3C"/>
    <w:rsid w:val="00536140"/>
    <w:rsid w:val="00536148"/>
    <w:rsid w:val="0053642B"/>
    <w:rsid w:val="0053647C"/>
    <w:rsid w:val="005368B2"/>
    <w:rsid w:val="00537312"/>
    <w:rsid w:val="00537352"/>
    <w:rsid w:val="00537D4E"/>
    <w:rsid w:val="00537E5E"/>
    <w:rsid w:val="00537F60"/>
    <w:rsid w:val="00537FB6"/>
    <w:rsid w:val="0054024D"/>
    <w:rsid w:val="00540396"/>
    <w:rsid w:val="00540AC9"/>
    <w:rsid w:val="00540B4C"/>
    <w:rsid w:val="00540BE3"/>
    <w:rsid w:val="00540D05"/>
    <w:rsid w:val="005412CE"/>
    <w:rsid w:val="005413B1"/>
    <w:rsid w:val="00541860"/>
    <w:rsid w:val="00541BAD"/>
    <w:rsid w:val="005421A4"/>
    <w:rsid w:val="0054242B"/>
    <w:rsid w:val="005428C9"/>
    <w:rsid w:val="00542A3D"/>
    <w:rsid w:val="00542A7D"/>
    <w:rsid w:val="00542B63"/>
    <w:rsid w:val="00542C57"/>
    <w:rsid w:val="00543270"/>
    <w:rsid w:val="00543418"/>
    <w:rsid w:val="0054351E"/>
    <w:rsid w:val="00543532"/>
    <w:rsid w:val="005435D2"/>
    <w:rsid w:val="005438AA"/>
    <w:rsid w:val="005441CC"/>
    <w:rsid w:val="005444D9"/>
    <w:rsid w:val="00544740"/>
    <w:rsid w:val="005447E4"/>
    <w:rsid w:val="00544835"/>
    <w:rsid w:val="005448C7"/>
    <w:rsid w:val="005449EE"/>
    <w:rsid w:val="00544D64"/>
    <w:rsid w:val="00544FBB"/>
    <w:rsid w:val="00545464"/>
    <w:rsid w:val="005454A7"/>
    <w:rsid w:val="005455BE"/>
    <w:rsid w:val="005455C2"/>
    <w:rsid w:val="005455ED"/>
    <w:rsid w:val="0054585F"/>
    <w:rsid w:val="00545A67"/>
    <w:rsid w:val="00545BF7"/>
    <w:rsid w:val="00545C67"/>
    <w:rsid w:val="00545D99"/>
    <w:rsid w:val="00545E28"/>
    <w:rsid w:val="00545F52"/>
    <w:rsid w:val="00546041"/>
    <w:rsid w:val="00546075"/>
    <w:rsid w:val="0054610A"/>
    <w:rsid w:val="00546659"/>
    <w:rsid w:val="00546752"/>
    <w:rsid w:val="005467E3"/>
    <w:rsid w:val="00546A22"/>
    <w:rsid w:val="00546BFD"/>
    <w:rsid w:val="00546D93"/>
    <w:rsid w:val="00546DA4"/>
    <w:rsid w:val="00546ECC"/>
    <w:rsid w:val="005471BF"/>
    <w:rsid w:val="005472E7"/>
    <w:rsid w:val="0054743F"/>
    <w:rsid w:val="005479E2"/>
    <w:rsid w:val="00547D8E"/>
    <w:rsid w:val="00547DCF"/>
    <w:rsid w:val="00550907"/>
    <w:rsid w:val="00550958"/>
    <w:rsid w:val="00550D72"/>
    <w:rsid w:val="00550D7F"/>
    <w:rsid w:val="00550FEE"/>
    <w:rsid w:val="005511B2"/>
    <w:rsid w:val="005511D3"/>
    <w:rsid w:val="00551273"/>
    <w:rsid w:val="005517CD"/>
    <w:rsid w:val="005518FB"/>
    <w:rsid w:val="00551C14"/>
    <w:rsid w:val="00551FFB"/>
    <w:rsid w:val="00552208"/>
    <w:rsid w:val="005522E9"/>
    <w:rsid w:val="00552371"/>
    <w:rsid w:val="005523F8"/>
    <w:rsid w:val="005524FE"/>
    <w:rsid w:val="00552513"/>
    <w:rsid w:val="0055265F"/>
    <w:rsid w:val="005526E7"/>
    <w:rsid w:val="005527B3"/>
    <w:rsid w:val="005527BA"/>
    <w:rsid w:val="00552B1F"/>
    <w:rsid w:val="00552FD0"/>
    <w:rsid w:val="00553463"/>
    <w:rsid w:val="00553693"/>
    <w:rsid w:val="00553826"/>
    <w:rsid w:val="00553E18"/>
    <w:rsid w:val="005540ED"/>
    <w:rsid w:val="00554246"/>
    <w:rsid w:val="00554A90"/>
    <w:rsid w:val="00554D35"/>
    <w:rsid w:val="00554DAE"/>
    <w:rsid w:val="00554E58"/>
    <w:rsid w:val="005550A2"/>
    <w:rsid w:val="00555228"/>
    <w:rsid w:val="005552DB"/>
    <w:rsid w:val="0055594F"/>
    <w:rsid w:val="005559DE"/>
    <w:rsid w:val="00555AF3"/>
    <w:rsid w:val="00555DFC"/>
    <w:rsid w:val="00555ED7"/>
    <w:rsid w:val="0055610A"/>
    <w:rsid w:val="0055630B"/>
    <w:rsid w:val="00556766"/>
    <w:rsid w:val="00556996"/>
    <w:rsid w:val="00556E37"/>
    <w:rsid w:val="00556EBE"/>
    <w:rsid w:val="005572EA"/>
    <w:rsid w:val="00557365"/>
    <w:rsid w:val="00557CD7"/>
    <w:rsid w:val="00557D8D"/>
    <w:rsid w:val="00560102"/>
    <w:rsid w:val="0056075D"/>
    <w:rsid w:val="005607EB"/>
    <w:rsid w:val="00560855"/>
    <w:rsid w:val="00560C62"/>
    <w:rsid w:val="00560E14"/>
    <w:rsid w:val="005611D3"/>
    <w:rsid w:val="0056150B"/>
    <w:rsid w:val="005615D5"/>
    <w:rsid w:val="0056199D"/>
    <w:rsid w:val="00561B2D"/>
    <w:rsid w:val="00561B42"/>
    <w:rsid w:val="00561D4D"/>
    <w:rsid w:val="00561E30"/>
    <w:rsid w:val="00561F5B"/>
    <w:rsid w:val="005623EA"/>
    <w:rsid w:val="00562533"/>
    <w:rsid w:val="00562719"/>
    <w:rsid w:val="005629A3"/>
    <w:rsid w:val="00562AEF"/>
    <w:rsid w:val="00562B2E"/>
    <w:rsid w:val="00562EA7"/>
    <w:rsid w:val="00562F1B"/>
    <w:rsid w:val="00563017"/>
    <w:rsid w:val="00563279"/>
    <w:rsid w:val="005633CB"/>
    <w:rsid w:val="0056342B"/>
    <w:rsid w:val="00563600"/>
    <w:rsid w:val="00563A78"/>
    <w:rsid w:val="00563C90"/>
    <w:rsid w:val="00563FA3"/>
    <w:rsid w:val="00564748"/>
    <w:rsid w:val="00564936"/>
    <w:rsid w:val="00564AC8"/>
    <w:rsid w:val="00564E23"/>
    <w:rsid w:val="0056545B"/>
    <w:rsid w:val="005655C7"/>
    <w:rsid w:val="0056591F"/>
    <w:rsid w:val="00565A0A"/>
    <w:rsid w:val="00565C5B"/>
    <w:rsid w:val="00565CDF"/>
    <w:rsid w:val="00565EBE"/>
    <w:rsid w:val="00565FB1"/>
    <w:rsid w:val="0056637F"/>
    <w:rsid w:val="005665E1"/>
    <w:rsid w:val="005668D8"/>
    <w:rsid w:val="0056696F"/>
    <w:rsid w:val="00566988"/>
    <w:rsid w:val="00566A6E"/>
    <w:rsid w:val="00566BD7"/>
    <w:rsid w:val="00566D39"/>
    <w:rsid w:val="00566FCD"/>
    <w:rsid w:val="005677F9"/>
    <w:rsid w:val="005678D5"/>
    <w:rsid w:val="0056797B"/>
    <w:rsid w:val="00567A2E"/>
    <w:rsid w:val="00567CCA"/>
    <w:rsid w:val="00567FB1"/>
    <w:rsid w:val="00570AA1"/>
    <w:rsid w:val="00570CAB"/>
    <w:rsid w:val="0057105C"/>
    <w:rsid w:val="005712AE"/>
    <w:rsid w:val="0057162F"/>
    <w:rsid w:val="005716DC"/>
    <w:rsid w:val="0057177A"/>
    <w:rsid w:val="00571832"/>
    <w:rsid w:val="00571D3E"/>
    <w:rsid w:val="00571D94"/>
    <w:rsid w:val="00571E96"/>
    <w:rsid w:val="00572025"/>
    <w:rsid w:val="005720BA"/>
    <w:rsid w:val="005721A5"/>
    <w:rsid w:val="0057221B"/>
    <w:rsid w:val="0057226B"/>
    <w:rsid w:val="005729CB"/>
    <w:rsid w:val="00572A95"/>
    <w:rsid w:val="00572AD1"/>
    <w:rsid w:val="00572B6A"/>
    <w:rsid w:val="00572CDB"/>
    <w:rsid w:val="00572CEA"/>
    <w:rsid w:val="00572E12"/>
    <w:rsid w:val="00572EB7"/>
    <w:rsid w:val="00572FC9"/>
    <w:rsid w:val="005730A3"/>
    <w:rsid w:val="0057321D"/>
    <w:rsid w:val="005732B4"/>
    <w:rsid w:val="00573367"/>
    <w:rsid w:val="00573B50"/>
    <w:rsid w:val="005740DC"/>
    <w:rsid w:val="00574252"/>
    <w:rsid w:val="00574486"/>
    <w:rsid w:val="005744FC"/>
    <w:rsid w:val="00574612"/>
    <w:rsid w:val="00574898"/>
    <w:rsid w:val="00574948"/>
    <w:rsid w:val="00574DA4"/>
    <w:rsid w:val="00574F18"/>
    <w:rsid w:val="00574FFE"/>
    <w:rsid w:val="00575163"/>
    <w:rsid w:val="0057524A"/>
    <w:rsid w:val="0057554B"/>
    <w:rsid w:val="00575782"/>
    <w:rsid w:val="00575848"/>
    <w:rsid w:val="00575BF8"/>
    <w:rsid w:val="00575DD7"/>
    <w:rsid w:val="00575F08"/>
    <w:rsid w:val="00576138"/>
    <w:rsid w:val="005766A4"/>
    <w:rsid w:val="00576AD0"/>
    <w:rsid w:val="00576C57"/>
    <w:rsid w:val="00576D38"/>
    <w:rsid w:val="00576D96"/>
    <w:rsid w:val="00576DA3"/>
    <w:rsid w:val="00576F65"/>
    <w:rsid w:val="00576F75"/>
    <w:rsid w:val="0057795D"/>
    <w:rsid w:val="00577B90"/>
    <w:rsid w:val="00577DD1"/>
    <w:rsid w:val="00577FF7"/>
    <w:rsid w:val="0058022A"/>
    <w:rsid w:val="00580295"/>
    <w:rsid w:val="0058030D"/>
    <w:rsid w:val="0058031A"/>
    <w:rsid w:val="005803E2"/>
    <w:rsid w:val="0058077B"/>
    <w:rsid w:val="00580A60"/>
    <w:rsid w:val="00580DD1"/>
    <w:rsid w:val="00580EA1"/>
    <w:rsid w:val="00580F12"/>
    <w:rsid w:val="0058110A"/>
    <w:rsid w:val="005813B2"/>
    <w:rsid w:val="0058146D"/>
    <w:rsid w:val="0058161B"/>
    <w:rsid w:val="00581742"/>
    <w:rsid w:val="00581D45"/>
    <w:rsid w:val="00581DAA"/>
    <w:rsid w:val="00581ED7"/>
    <w:rsid w:val="00581F0E"/>
    <w:rsid w:val="005820FA"/>
    <w:rsid w:val="005821EA"/>
    <w:rsid w:val="005827AC"/>
    <w:rsid w:val="005827F3"/>
    <w:rsid w:val="00582914"/>
    <w:rsid w:val="00582946"/>
    <w:rsid w:val="00582A1D"/>
    <w:rsid w:val="00582BC3"/>
    <w:rsid w:val="00582EEA"/>
    <w:rsid w:val="00583090"/>
    <w:rsid w:val="0058315A"/>
    <w:rsid w:val="005833D1"/>
    <w:rsid w:val="005833EA"/>
    <w:rsid w:val="0058371E"/>
    <w:rsid w:val="00583E9A"/>
    <w:rsid w:val="0058401C"/>
    <w:rsid w:val="005841FA"/>
    <w:rsid w:val="00584231"/>
    <w:rsid w:val="005845BD"/>
    <w:rsid w:val="0058460A"/>
    <w:rsid w:val="005848C3"/>
    <w:rsid w:val="005848E1"/>
    <w:rsid w:val="00584AAF"/>
    <w:rsid w:val="00584E31"/>
    <w:rsid w:val="005850EF"/>
    <w:rsid w:val="005854B9"/>
    <w:rsid w:val="00585575"/>
    <w:rsid w:val="00585663"/>
    <w:rsid w:val="0058575D"/>
    <w:rsid w:val="0058592E"/>
    <w:rsid w:val="00585A43"/>
    <w:rsid w:val="00585D5F"/>
    <w:rsid w:val="00586102"/>
    <w:rsid w:val="005862BB"/>
    <w:rsid w:val="00586977"/>
    <w:rsid w:val="00586A81"/>
    <w:rsid w:val="00586B19"/>
    <w:rsid w:val="00586C50"/>
    <w:rsid w:val="00586F9F"/>
    <w:rsid w:val="00587304"/>
    <w:rsid w:val="00587321"/>
    <w:rsid w:val="005875A3"/>
    <w:rsid w:val="005878C7"/>
    <w:rsid w:val="00587DB7"/>
    <w:rsid w:val="00587E3C"/>
    <w:rsid w:val="005900E0"/>
    <w:rsid w:val="0059017F"/>
    <w:rsid w:val="005902AB"/>
    <w:rsid w:val="005903E5"/>
    <w:rsid w:val="005904F4"/>
    <w:rsid w:val="00590818"/>
    <w:rsid w:val="00590BAD"/>
    <w:rsid w:val="00590C32"/>
    <w:rsid w:val="00590C61"/>
    <w:rsid w:val="00590DD7"/>
    <w:rsid w:val="00591166"/>
    <w:rsid w:val="005911E2"/>
    <w:rsid w:val="00591345"/>
    <w:rsid w:val="005914AF"/>
    <w:rsid w:val="005914C0"/>
    <w:rsid w:val="005916BC"/>
    <w:rsid w:val="005919DB"/>
    <w:rsid w:val="00591BA6"/>
    <w:rsid w:val="00591D05"/>
    <w:rsid w:val="00591F22"/>
    <w:rsid w:val="0059232C"/>
    <w:rsid w:val="005925A0"/>
    <w:rsid w:val="00592620"/>
    <w:rsid w:val="005927C9"/>
    <w:rsid w:val="00592834"/>
    <w:rsid w:val="00592AC0"/>
    <w:rsid w:val="00592B50"/>
    <w:rsid w:val="00592C0C"/>
    <w:rsid w:val="00592F4B"/>
    <w:rsid w:val="00593124"/>
    <w:rsid w:val="00593263"/>
    <w:rsid w:val="005932DB"/>
    <w:rsid w:val="0059371C"/>
    <w:rsid w:val="005939F1"/>
    <w:rsid w:val="00593B93"/>
    <w:rsid w:val="00593BFC"/>
    <w:rsid w:val="00593CB0"/>
    <w:rsid w:val="005942C1"/>
    <w:rsid w:val="00594356"/>
    <w:rsid w:val="0059459E"/>
    <w:rsid w:val="005945C7"/>
    <w:rsid w:val="005946D0"/>
    <w:rsid w:val="00594BD9"/>
    <w:rsid w:val="00594C99"/>
    <w:rsid w:val="00594EE1"/>
    <w:rsid w:val="005951D7"/>
    <w:rsid w:val="0059533A"/>
    <w:rsid w:val="00595400"/>
    <w:rsid w:val="005958A5"/>
    <w:rsid w:val="00595937"/>
    <w:rsid w:val="00595FB3"/>
    <w:rsid w:val="00596035"/>
    <w:rsid w:val="0059613E"/>
    <w:rsid w:val="0059653A"/>
    <w:rsid w:val="005966D4"/>
    <w:rsid w:val="005967E3"/>
    <w:rsid w:val="005968F8"/>
    <w:rsid w:val="005969F5"/>
    <w:rsid w:val="00596AB0"/>
    <w:rsid w:val="00596BF7"/>
    <w:rsid w:val="00596DB5"/>
    <w:rsid w:val="005971A4"/>
    <w:rsid w:val="005972E6"/>
    <w:rsid w:val="0059768F"/>
    <w:rsid w:val="00597824"/>
    <w:rsid w:val="0059783B"/>
    <w:rsid w:val="0059788C"/>
    <w:rsid w:val="00597A80"/>
    <w:rsid w:val="00597B8B"/>
    <w:rsid w:val="00597CD4"/>
    <w:rsid w:val="00597CF1"/>
    <w:rsid w:val="005A0239"/>
    <w:rsid w:val="005A0331"/>
    <w:rsid w:val="005A0C93"/>
    <w:rsid w:val="005A0ED5"/>
    <w:rsid w:val="005A1197"/>
    <w:rsid w:val="005A1276"/>
    <w:rsid w:val="005A1427"/>
    <w:rsid w:val="005A1512"/>
    <w:rsid w:val="005A15CE"/>
    <w:rsid w:val="005A17E5"/>
    <w:rsid w:val="005A182D"/>
    <w:rsid w:val="005A1871"/>
    <w:rsid w:val="005A2198"/>
    <w:rsid w:val="005A23A7"/>
    <w:rsid w:val="005A23FF"/>
    <w:rsid w:val="005A2599"/>
    <w:rsid w:val="005A2905"/>
    <w:rsid w:val="005A2A25"/>
    <w:rsid w:val="005A2A8A"/>
    <w:rsid w:val="005A2C09"/>
    <w:rsid w:val="005A2F7A"/>
    <w:rsid w:val="005A2FE8"/>
    <w:rsid w:val="005A2FF5"/>
    <w:rsid w:val="005A3005"/>
    <w:rsid w:val="005A30A9"/>
    <w:rsid w:val="005A3234"/>
    <w:rsid w:val="005A33E9"/>
    <w:rsid w:val="005A39E5"/>
    <w:rsid w:val="005A3BB7"/>
    <w:rsid w:val="005A3C65"/>
    <w:rsid w:val="005A3DA7"/>
    <w:rsid w:val="005A4203"/>
    <w:rsid w:val="005A425B"/>
    <w:rsid w:val="005A4844"/>
    <w:rsid w:val="005A4A0B"/>
    <w:rsid w:val="005A4EA5"/>
    <w:rsid w:val="005A5114"/>
    <w:rsid w:val="005A5186"/>
    <w:rsid w:val="005A53A3"/>
    <w:rsid w:val="005A547C"/>
    <w:rsid w:val="005A56FF"/>
    <w:rsid w:val="005A5A64"/>
    <w:rsid w:val="005A5C8E"/>
    <w:rsid w:val="005A5DFF"/>
    <w:rsid w:val="005A617E"/>
    <w:rsid w:val="005A61A9"/>
    <w:rsid w:val="005A61EE"/>
    <w:rsid w:val="005A6244"/>
    <w:rsid w:val="005A6535"/>
    <w:rsid w:val="005A67C1"/>
    <w:rsid w:val="005A67CD"/>
    <w:rsid w:val="005A68C9"/>
    <w:rsid w:val="005A6A02"/>
    <w:rsid w:val="005A6AE2"/>
    <w:rsid w:val="005A6E27"/>
    <w:rsid w:val="005A6E7A"/>
    <w:rsid w:val="005A7249"/>
    <w:rsid w:val="005A7265"/>
    <w:rsid w:val="005A72CF"/>
    <w:rsid w:val="005A779F"/>
    <w:rsid w:val="005A78B4"/>
    <w:rsid w:val="005A7A0B"/>
    <w:rsid w:val="005A7CE1"/>
    <w:rsid w:val="005A7CED"/>
    <w:rsid w:val="005A7F02"/>
    <w:rsid w:val="005B0506"/>
    <w:rsid w:val="005B05E7"/>
    <w:rsid w:val="005B06A1"/>
    <w:rsid w:val="005B0784"/>
    <w:rsid w:val="005B09D5"/>
    <w:rsid w:val="005B13A5"/>
    <w:rsid w:val="005B15BA"/>
    <w:rsid w:val="005B15CD"/>
    <w:rsid w:val="005B166A"/>
    <w:rsid w:val="005B16F9"/>
    <w:rsid w:val="005B179A"/>
    <w:rsid w:val="005B1B45"/>
    <w:rsid w:val="005B1D09"/>
    <w:rsid w:val="005B21E5"/>
    <w:rsid w:val="005B23C4"/>
    <w:rsid w:val="005B2791"/>
    <w:rsid w:val="005B294C"/>
    <w:rsid w:val="005B2E1D"/>
    <w:rsid w:val="005B2F54"/>
    <w:rsid w:val="005B2FFC"/>
    <w:rsid w:val="005B3218"/>
    <w:rsid w:val="005B341F"/>
    <w:rsid w:val="005B347D"/>
    <w:rsid w:val="005B34B1"/>
    <w:rsid w:val="005B35F4"/>
    <w:rsid w:val="005B3674"/>
    <w:rsid w:val="005B3946"/>
    <w:rsid w:val="005B3A1D"/>
    <w:rsid w:val="005B3A9C"/>
    <w:rsid w:val="005B3AFF"/>
    <w:rsid w:val="005B3F57"/>
    <w:rsid w:val="005B3F88"/>
    <w:rsid w:val="005B4004"/>
    <w:rsid w:val="005B409D"/>
    <w:rsid w:val="005B4226"/>
    <w:rsid w:val="005B4857"/>
    <w:rsid w:val="005B4957"/>
    <w:rsid w:val="005B4A3D"/>
    <w:rsid w:val="005B4B94"/>
    <w:rsid w:val="005B4C94"/>
    <w:rsid w:val="005B4E1E"/>
    <w:rsid w:val="005B4FD5"/>
    <w:rsid w:val="005B51DB"/>
    <w:rsid w:val="005B5704"/>
    <w:rsid w:val="005B571F"/>
    <w:rsid w:val="005B586B"/>
    <w:rsid w:val="005B59D9"/>
    <w:rsid w:val="005B5A99"/>
    <w:rsid w:val="005B5C44"/>
    <w:rsid w:val="005B63FA"/>
    <w:rsid w:val="005B666A"/>
    <w:rsid w:val="005B67FB"/>
    <w:rsid w:val="005B6C93"/>
    <w:rsid w:val="005B6C94"/>
    <w:rsid w:val="005B6E54"/>
    <w:rsid w:val="005B6FA3"/>
    <w:rsid w:val="005B72CF"/>
    <w:rsid w:val="005B7696"/>
    <w:rsid w:val="005B7D8F"/>
    <w:rsid w:val="005C0130"/>
    <w:rsid w:val="005C04AD"/>
    <w:rsid w:val="005C055B"/>
    <w:rsid w:val="005C0A95"/>
    <w:rsid w:val="005C0D00"/>
    <w:rsid w:val="005C1080"/>
    <w:rsid w:val="005C10A0"/>
    <w:rsid w:val="005C115B"/>
    <w:rsid w:val="005C1245"/>
    <w:rsid w:val="005C15DA"/>
    <w:rsid w:val="005C17D9"/>
    <w:rsid w:val="005C1841"/>
    <w:rsid w:val="005C1D7E"/>
    <w:rsid w:val="005C207A"/>
    <w:rsid w:val="005C24A4"/>
    <w:rsid w:val="005C2932"/>
    <w:rsid w:val="005C2B97"/>
    <w:rsid w:val="005C2BD5"/>
    <w:rsid w:val="005C2C26"/>
    <w:rsid w:val="005C2F75"/>
    <w:rsid w:val="005C3257"/>
    <w:rsid w:val="005C3995"/>
    <w:rsid w:val="005C3A60"/>
    <w:rsid w:val="005C3B40"/>
    <w:rsid w:val="005C3B46"/>
    <w:rsid w:val="005C3BF9"/>
    <w:rsid w:val="005C3C7E"/>
    <w:rsid w:val="005C3DAE"/>
    <w:rsid w:val="005C420B"/>
    <w:rsid w:val="005C423C"/>
    <w:rsid w:val="005C430B"/>
    <w:rsid w:val="005C447D"/>
    <w:rsid w:val="005C48F7"/>
    <w:rsid w:val="005C4B07"/>
    <w:rsid w:val="005C4C25"/>
    <w:rsid w:val="005C4F27"/>
    <w:rsid w:val="005C55C9"/>
    <w:rsid w:val="005C561B"/>
    <w:rsid w:val="005C58F8"/>
    <w:rsid w:val="005C5B32"/>
    <w:rsid w:val="005C5BA6"/>
    <w:rsid w:val="005C5BD4"/>
    <w:rsid w:val="005C5EA9"/>
    <w:rsid w:val="005C5FF5"/>
    <w:rsid w:val="005C60DA"/>
    <w:rsid w:val="005C6254"/>
    <w:rsid w:val="005C63CB"/>
    <w:rsid w:val="005C65BC"/>
    <w:rsid w:val="005C704E"/>
    <w:rsid w:val="005C7260"/>
    <w:rsid w:val="005C74C4"/>
    <w:rsid w:val="005C760B"/>
    <w:rsid w:val="005C7703"/>
    <w:rsid w:val="005C792D"/>
    <w:rsid w:val="005C7B85"/>
    <w:rsid w:val="005C7DEC"/>
    <w:rsid w:val="005D0365"/>
    <w:rsid w:val="005D0599"/>
    <w:rsid w:val="005D0704"/>
    <w:rsid w:val="005D0728"/>
    <w:rsid w:val="005D0B52"/>
    <w:rsid w:val="005D0E52"/>
    <w:rsid w:val="005D1452"/>
    <w:rsid w:val="005D1472"/>
    <w:rsid w:val="005D1491"/>
    <w:rsid w:val="005D1524"/>
    <w:rsid w:val="005D16AE"/>
    <w:rsid w:val="005D195E"/>
    <w:rsid w:val="005D1982"/>
    <w:rsid w:val="005D1A10"/>
    <w:rsid w:val="005D1DC9"/>
    <w:rsid w:val="005D1E00"/>
    <w:rsid w:val="005D1F89"/>
    <w:rsid w:val="005D2044"/>
    <w:rsid w:val="005D20C7"/>
    <w:rsid w:val="005D2246"/>
    <w:rsid w:val="005D27B0"/>
    <w:rsid w:val="005D2957"/>
    <w:rsid w:val="005D2AB3"/>
    <w:rsid w:val="005D2EEF"/>
    <w:rsid w:val="005D2EFF"/>
    <w:rsid w:val="005D2FD5"/>
    <w:rsid w:val="005D32C6"/>
    <w:rsid w:val="005D3416"/>
    <w:rsid w:val="005D3437"/>
    <w:rsid w:val="005D34C1"/>
    <w:rsid w:val="005D3760"/>
    <w:rsid w:val="005D3795"/>
    <w:rsid w:val="005D384E"/>
    <w:rsid w:val="005D39D6"/>
    <w:rsid w:val="005D3B13"/>
    <w:rsid w:val="005D3B44"/>
    <w:rsid w:val="005D3C85"/>
    <w:rsid w:val="005D3E26"/>
    <w:rsid w:val="005D3E85"/>
    <w:rsid w:val="005D4060"/>
    <w:rsid w:val="005D4093"/>
    <w:rsid w:val="005D4123"/>
    <w:rsid w:val="005D4572"/>
    <w:rsid w:val="005D46D4"/>
    <w:rsid w:val="005D49B3"/>
    <w:rsid w:val="005D4B2C"/>
    <w:rsid w:val="005D4B69"/>
    <w:rsid w:val="005D4C69"/>
    <w:rsid w:val="005D4C7B"/>
    <w:rsid w:val="005D4DED"/>
    <w:rsid w:val="005D4E94"/>
    <w:rsid w:val="005D4FDB"/>
    <w:rsid w:val="005D51DB"/>
    <w:rsid w:val="005D56D3"/>
    <w:rsid w:val="005D57EB"/>
    <w:rsid w:val="005D5BEF"/>
    <w:rsid w:val="005D607C"/>
    <w:rsid w:val="005D633D"/>
    <w:rsid w:val="005D658B"/>
    <w:rsid w:val="005D69E9"/>
    <w:rsid w:val="005D6CC7"/>
    <w:rsid w:val="005D7020"/>
    <w:rsid w:val="005D72E1"/>
    <w:rsid w:val="005D756D"/>
    <w:rsid w:val="005D7B1A"/>
    <w:rsid w:val="005D7CBC"/>
    <w:rsid w:val="005D7DC4"/>
    <w:rsid w:val="005D7DC9"/>
    <w:rsid w:val="005D7EEC"/>
    <w:rsid w:val="005D7F8B"/>
    <w:rsid w:val="005E0192"/>
    <w:rsid w:val="005E0294"/>
    <w:rsid w:val="005E041A"/>
    <w:rsid w:val="005E0829"/>
    <w:rsid w:val="005E08FC"/>
    <w:rsid w:val="005E095E"/>
    <w:rsid w:val="005E0A3F"/>
    <w:rsid w:val="005E0A9D"/>
    <w:rsid w:val="005E0C91"/>
    <w:rsid w:val="005E12A3"/>
    <w:rsid w:val="005E12A4"/>
    <w:rsid w:val="005E145E"/>
    <w:rsid w:val="005E16DC"/>
    <w:rsid w:val="005E1829"/>
    <w:rsid w:val="005E1C89"/>
    <w:rsid w:val="005E1E08"/>
    <w:rsid w:val="005E2017"/>
    <w:rsid w:val="005E25A1"/>
    <w:rsid w:val="005E2754"/>
    <w:rsid w:val="005E2A18"/>
    <w:rsid w:val="005E2A3A"/>
    <w:rsid w:val="005E2F2E"/>
    <w:rsid w:val="005E3188"/>
    <w:rsid w:val="005E327E"/>
    <w:rsid w:val="005E32C6"/>
    <w:rsid w:val="005E352F"/>
    <w:rsid w:val="005E3633"/>
    <w:rsid w:val="005E37C6"/>
    <w:rsid w:val="005E3E2C"/>
    <w:rsid w:val="005E3EB0"/>
    <w:rsid w:val="005E4278"/>
    <w:rsid w:val="005E42BB"/>
    <w:rsid w:val="005E4319"/>
    <w:rsid w:val="005E492E"/>
    <w:rsid w:val="005E4968"/>
    <w:rsid w:val="005E496A"/>
    <w:rsid w:val="005E4B0E"/>
    <w:rsid w:val="005E4BCE"/>
    <w:rsid w:val="005E51BD"/>
    <w:rsid w:val="005E51DC"/>
    <w:rsid w:val="005E5268"/>
    <w:rsid w:val="005E537F"/>
    <w:rsid w:val="005E547F"/>
    <w:rsid w:val="005E584E"/>
    <w:rsid w:val="005E5C6C"/>
    <w:rsid w:val="005E5EF4"/>
    <w:rsid w:val="005E5F40"/>
    <w:rsid w:val="005E602E"/>
    <w:rsid w:val="005E605B"/>
    <w:rsid w:val="005E61AF"/>
    <w:rsid w:val="005E6309"/>
    <w:rsid w:val="005E6665"/>
    <w:rsid w:val="005E69D8"/>
    <w:rsid w:val="005E6A06"/>
    <w:rsid w:val="005E6A86"/>
    <w:rsid w:val="005E763F"/>
    <w:rsid w:val="005E76D8"/>
    <w:rsid w:val="005E7A60"/>
    <w:rsid w:val="005E7C76"/>
    <w:rsid w:val="005E7E1D"/>
    <w:rsid w:val="005E7F69"/>
    <w:rsid w:val="005F01E4"/>
    <w:rsid w:val="005F0643"/>
    <w:rsid w:val="005F0B7F"/>
    <w:rsid w:val="005F0FBB"/>
    <w:rsid w:val="005F12D7"/>
    <w:rsid w:val="005F1561"/>
    <w:rsid w:val="005F1803"/>
    <w:rsid w:val="005F18CC"/>
    <w:rsid w:val="005F19C4"/>
    <w:rsid w:val="005F1A50"/>
    <w:rsid w:val="005F22A7"/>
    <w:rsid w:val="005F2331"/>
    <w:rsid w:val="005F251F"/>
    <w:rsid w:val="005F2869"/>
    <w:rsid w:val="005F2CF4"/>
    <w:rsid w:val="005F331E"/>
    <w:rsid w:val="005F344A"/>
    <w:rsid w:val="005F3B90"/>
    <w:rsid w:val="005F3F9E"/>
    <w:rsid w:val="005F3FE5"/>
    <w:rsid w:val="005F401A"/>
    <w:rsid w:val="005F40ED"/>
    <w:rsid w:val="005F456E"/>
    <w:rsid w:val="005F4584"/>
    <w:rsid w:val="005F47EC"/>
    <w:rsid w:val="005F4A2E"/>
    <w:rsid w:val="005F4CAB"/>
    <w:rsid w:val="005F4EB8"/>
    <w:rsid w:val="005F51DA"/>
    <w:rsid w:val="005F5374"/>
    <w:rsid w:val="005F56DC"/>
    <w:rsid w:val="005F56F7"/>
    <w:rsid w:val="005F58F2"/>
    <w:rsid w:val="005F5923"/>
    <w:rsid w:val="005F5BD5"/>
    <w:rsid w:val="005F5D1C"/>
    <w:rsid w:val="005F5DF5"/>
    <w:rsid w:val="005F5E12"/>
    <w:rsid w:val="005F6146"/>
    <w:rsid w:val="005F6260"/>
    <w:rsid w:val="005F6706"/>
    <w:rsid w:val="005F683C"/>
    <w:rsid w:val="005F6965"/>
    <w:rsid w:val="005F6996"/>
    <w:rsid w:val="005F7261"/>
    <w:rsid w:val="005F7316"/>
    <w:rsid w:val="005F732C"/>
    <w:rsid w:val="005F7A21"/>
    <w:rsid w:val="005F7ADE"/>
    <w:rsid w:val="005F7E11"/>
    <w:rsid w:val="00600133"/>
    <w:rsid w:val="00600224"/>
    <w:rsid w:val="00600354"/>
    <w:rsid w:val="00600411"/>
    <w:rsid w:val="0060045C"/>
    <w:rsid w:val="00600488"/>
    <w:rsid w:val="006007BC"/>
    <w:rsid w:val="00600A8E"/>
    <w:rsid w:val="00600BA4"/>
    <w:rsid w:val="00600E73"/>
    <w:rsid w:val="00600F4E"/>
    <w:rsid w:val="00600F72"/>
    <w:rsid w:val="00600F78"/>
    <w:rsid w:val="00601021"/>
    <w:rsid w:val="006011C7"/>
    <w:rsid w:val="0060131B"/>
    <w:rsid w:val="00601817"/>
    <w:rsid w:val="00601A2F"/>
    <w:rsid w:val="00601B94"/>
    <w:rsid w:val="00601EE0"/>
    <w:rsid w:val="00601EFB"/>
    <w:rsid w:val="00602002"/>
    <w:rsid w:val="006020AB"/>
    <w:rsid w:val="0060218C"/>
    <w:rsid w:val="006021D2"/>
    <w:rsid w:val="006022BE"/>
    <w:rsid w:val="00602496"/>
    <w:rsid w:val="00602695"/>
    <w:rsid w:val="006029F0"/>
    <w:rsid w:val="00602D24"/>
    <w:rsid w:val="00602ECC"/>
    <w:rsid w:val="00603169"/>
    <w:rsid w:val="00603186"/>
    <w:rsid w:val="006038DA"/>
    <w:rsid w:val="006039A1"/>
    <w:rsid w:val="00603A65"/>
    <w:rsid w:val="00603BBA"/>
    <w:rsid w:val="00603BC5"/>
    <w:rsid w:val="00604661"/>
    <w:rsid w:val="006048B6"/>
    <w:rsid w:val="00604B68"/>
    <w:rsid w:val="00604BE3"/>
    <w:rsid w:val="0060538C"/>
    <w:rsid w:val="0060539F"/>
    <w:rsid w:val="00605405"/>
    <w:rsid w:val="006054F1"/>
    <w:rsid w:val="006054F3"/>
    <w:rsid w:val="00605511"/>
    <w:rsid w:val="00605597"/>
    <w:rsid w:val="00605730"/>
    <w:rsid w:val="00605942"/>
    <w:rsid w:val="00605AAA"/>
    <w:rsid w:val="00605C18"/>
    <w:rsid w:val="00605C1A"/>
    <w:rsid w:val="00605C6B"/>
    <w:rsid w:val="00605D8B"/>
    <w:rsid w:val="00605DC0"/>
    <w:rsid w:val="00605ED2"/>
    <w:rsid w:val="006060BE"/>
    <w:rsid w:val="00606144"/>
    <w:rsid w:val="00606314"/>
    <w:rsid w:val="006064C7"/>
    <w:rsid w:val="00606ED9"/>
    <w:rsid w:val="006070C6"/>
    <w:rsid w:val="006071CB"/>
    <w:rsid w:val="00607380"/>
    <w:rsid w:val="006074A1"/>
    <w:rsid w:val="0060758F"/>
    <w:rsid w:val="00607788"/>
    <w:rsid w:val="00607A07"/>
    <w:rsid w:val="00607F29"/>
    <w:rsid w:val="006103D1"/>
    <w:rsid w:val="0061054A"/>
    <w:rsid w:val="00610567"/>
    <w:rsid w:val="00610BE1"/>
    <w:rsid w:val="00610EF5"/>
    <w:rsid w:val="006111D4"/>
    <w:rsid w:val="0061141D"/>
    <w:rsid w:val="00611510"/>
    <w:rsid w:val="00611653"/>
    <w:rsid w:val="00611707"/>
    <w:rsid w:val="00611789"/>
    <w:rsid w:val="006117AB"/>
    <w:rsid w:val="00611959"/>
    <w:rsid w:val="006119B2"/>
    <w:rsid w:val="00611CD4"/>
    <w:rsid w:val="00611F20"/>
    <w:rsid w:val="00611FE6"/>
    <w:rsid w:val="006120AD"/>
    <w:rsid w:val="0061244E"/>
    <w:rsid w:val="006128AA"/>
    <w:rsid w:val="00612945"/>
    <w:rsid w:val="006129BD"/>
    <w:rsid w:val="00612F1A"/>
    <w:rsid w:val="006130E2"/>
    <w:rsid w:val="006132B7"/>
    <w:rsid w:val="0061335E"/>
    <w:rsid w:val="00613937"/>
    <w:rsid w:val="006139CF"/>
    <w:rsid w:val="00613CE8"/>
    <w:rsid w:val="00613D2B"/>
    <w:rsid w:val="00613D74"/>
    <w:rsid w:val="0061404C"/>
    <w:rsid w:val="006141FA"/>
    <w:rsid w:val="00614266"/>
    <w:rsid w:val="006148FC"/>
    <w:rsid w:val="00614EA8"/>
    <w:rsid w:val="00614F75"/>
    <w:rsid w:val="006150DF"/>
    <w:rsid w:val="006157CC"/>
    <w:rsid w:val="0061585B"/>
    <w:rsid w:val="00616005"/>
    <w:rsid w:val="0061615F"/>
    <w:rsid w:val="006164A3"/>
    <w:rsid w:val="006166EE"/>
    <w:rsid w:val="00616784"/>
    <w:rsid w:val="006167EE"/>
    <w:rsid w:val="00616819"/>
    <w:rsid w:val="0061696E"/>
    <w:rsid w:val="00616B07"/>
    <w:rsid w:val="00616C44"/>
    <w:rsid w:val="00616D9E"/>
    <w:rsid w:val="00616E67"/>
    <w:rsid w:val="00616F33"/>
    <w:rsid w:val="006177AA"/>
    <w:rsid w:val="00617832"/>
    <w:rsid w:val="00617A20"/>
    <w:rsid w:val="00617B0E"/>
    <w:rsid w:val="00617D27"/>
    <w:rsid w:val="00617F22"/>
    <w:rsid w:val="00620229"/>
    <w:rsid w:val="0062030C"/>
    <w:rsid w:val="00620A50"/>
    <w:rsid w:val="00620B11"/>
    <w:rsid w:val="006214F1"/>
    <w:rsid w:val="00621666"/>
    <w:rsid w:val="00621C06"/>
    <w:rsid w:val="00621CE2"/>
    <w:rsid w:val="00621D73"/>
    <w:rsid w:val="00622100"/>
    <w:rsid w:val="00622586"/>
    <w:rsid w:val="006226BE"/>
    <w:rsid w:val="006226CF"/>
    <w:rsid w:val="00622711"/>
    <w:rsid w:val="00622719"/>
    <w:rsid w:val="0062279C"/>
    <w:rsid w:val="00622DD3"/>
    <w:rsid w:val="00622F11"/>
    <w:rsid w:val="00623018"/>
    <w:rsid w:val="0062310A"/>
    <w:rsid w:val="00623220"/>
    <w:rsid w:val="00623431"/>
    <w:rsid w:val="006238FF"/>
    <w:rsid w:val="00623BA1"/>
    <w:rsid w:val="00623C96"/>
    <w:rsid w:val="00623D5F"/>
    <w:rsid w:val="00623F0C"/>
    <w:rsid w:val="00623F59"/>
    <w:rsid w:val="0062400F"/>
    <w:rsid w:val="00624083"/>
    <w:rsid w:val="0062446D"/>
    <w:rsid w:val="0062447D"/>
    <w:rsid w:val="00624692"/>
    <w:rsid w:val="00624733"/>
    <w:rsid w:val="00624A2C"/>
    <w:rsid w:val="00624E36"/>
    <w:rsid w:val="00625275"/>
    <w:rsid w:val="006252B4"/>
    <w:rsid w:val="006252E3"/>
    <w:rsid w:val="00625347"/>
    <w:rsid w:val="006253B4"/>
    <w:rsid w:val="00625445"/>
    <w:rsid w:val="00625713"/>
    <w:rsid w:val="00625A57"/>
    <w:rsid w:val="00625C21"/>
    <w:rsid w:val="00625CEA"/>
    <w:rsid w:val="00625FB8"/>
    <w:rsid w:val="00625FBD"/>
    <w:rsid w:val="00626051"/>
    <w:rsid w:val="006262C0"/>
    <w:rsid w:val="00626327"/>
    <w:rsid w:val="00626373"/>
    <w:rsid w:val="006263B2"/>
    <w:rsid w:val="00626421"/>
    <w:rsid w:val="006265BA"/>
    <w:rsid w:val="00626917"/>
    <w:rsid w:val="0062693C"/>
    <w:rsid w:val="00626D8F"/>
    <w:rsid w:val="00626EFC"/>
    <w:rsid w:val="0062702B"/>
    <w:rsid w:val="006277ED"/>
    <w:rsid w:val="00627E0F"/>
    <w:rsid w:val="00627E28"/>
    <w:rsid w:val="00627F01"/>
    <w:rsid w:val="006303C3"/>
    <w:rsid w:val="0063044D"/>
    <w:rsid w:val="006305FE"/>
    <w:rsid w:val="0063088A"/>
    <w:rsid w:val="00630932"/>
    <w:rsid w:val="00630D3E"/>
    <w:rsid w:val="00630DFD"/>
    <w:rsid w:val="00631019"/>
    <w:rsid w:val="0063120B"/>
    <w:rsid w:val="006316D9"/>
    <w:rsid w:val="006316E7"/>
    <w:rsid w:val="00631A81"/>
    <w:rsid w:val="00631C3F"/>
    <w:rsid w:val="00632266"/>
    <w:rsid w:val="006325E7"/>
    <w:rsid w:val="00632E03"/>
    <w:rsid w:val="00632FEA"/>
    <w:rsid w:val="00633099"/>
    <w:rsid w:val="0063334A"/>
    <w:rsid w:val="006333B1"/>
    <w:rsid w:val="006334D9"/>
    <w:rsid w:val="00633750"/>
    <w:rsid w:val="00633827"/>
    <w:rsid w:val="00633A3A"/>
    <w:rsid w:val="00633BE7"/>
    <w:rsid w:val="00633D74"/>
    <w:rsid w:val="00633DB3"/>
    <w:rsid w:val="00633F17"/>
    <w:rsid w:val="006345A6"/>
    <w:rsid w:val="00634739"/>
    <w:rsid w:val="0063481C"/>
    <w:rsid w:val="00634BEA"/>
    <w:rsid w:val="00634DFC"/>
    <w:rsid w:val="00634F25"/>
    <w:rsid w:val="00634F5E"/>
    <w:rsid w:val="006352DF"/>
    <w:rsid w:val="0063537F"/>
    <w:rsid w:val="006355E6"/>
    <w:rsid w:val="0063561A"/>
    <w:rsid w:val="00635AFA"/>
    <w:rsid w:val="00635CFF"/>
    <w:rsid w:val="00635D25"/>
    <w:rsid w:val="006363CA"/>
    <w:rsid w:val="00636457"/>
    <w:rsid w:val="006366B6"/>
    <w:rsid w:val="00636706"/>
    <w:rsid w:val="00636781"/>
    <w:rsid w:val="00636789"/>
    <w:rsid w:val="00636A3B"/>
    <w:rsid w:val="00636DD6"/>
    <w:rsid w:val="00636E73"/>
    <w:rsid w:val="006374DB"/>
    <w:rsid w:val="0063754C"/>
    <w:rsid w:val="00637664"/>
    <w:rsid w:val="006378D5"/>
    <w:rsid w:val="00637994"/>
    <w:rsid w:val="00637AED"/>
    <w:rsid w:val="00637B9D"/>
    <w:rsid w:val="00637D15"/>
    <w:rsid w:val="00637F52"/>
    <w:rsid w:val="00640C63"/>
    <w:rsid w:val="00640EE8"/>
    <w:rsid w:val="0064100A"/>
    <w:rsid w:val="0064160E"/>
    <w:rsid w:val="00641673"/>
    <w:rsid w:val="00641694"/>
    <w:rsid w:val="00641837"/>
    <w:rsid w:val="00641B7C"/>
    <w:rsid w:val="00641CC2"/>
    <w:rsid w:val="0064201F"/>
    <w:rsid w:val="00642045"/>
    <w:rsid w:val="006420B4"/>
    <w:rsid w:val="00642103"/>
    <w:rsid w:val="006421AB"/>
    <w:rsid w:val="0064226E"/>
    <w:rsid w:val="006423F3"/>
    <w:rsid w:val="006424A3"/>
    <w:rsid w:val="006426D2"/>
    <w:rsid w:val="006427F2"/>
    <w:rsid w:val="006429F6"/>
    <w:rsid w:val="00642B37"/>
    <w:rsid w:val="00642D02"/>
    <w:rsid w:val="00642EA0"/>
    <w:rsid w:val="00642FED"/>
    <w:rsid w:val="006432C4"/>
    <w:rsid w:val="006434AC"/>
    <w:rsid w:val="006435D9"/>
    <w:rsid w:val="0064388D"/>
    <w:rsid w:val="00643C13"/>
    <w:rsid w:val="00643CA4"/>
    <w:rsid w:val="00643EC0"/>
    <w:rsid w:val="00643F3C"/>
    <w:rsid w:val="00644290"/>
    <w:rsid w:val="0064434C"/>
    <w:rsid w:val="006446AC"/>
    <w:rsid w:val="00644822"/>
    <w:rsid w:val="00644AE5"/>
    <w:rsid w:val="00644E00"/>
    <w:rsid w:val="00644FAB"/>
    <w:rsid w:val="006452C0"/>
    <w:rsid w:val="00645424"/>
    <w:rsid w:val="006454D4"/>
    <w:rsid w:val="00645618"/>
    <w:rsid w:val="0064566C"/>
    <w:rsid w:val="00645709"/>
    <w:rsid w:val="00645749"/>
    <w:rsid w:val="0064581D"/>
    <w:rsid w:val="006459C1"/>
    <w:rsid w:val="00645C29"/>
    <w:rsid w:val="0064608E"/>
    <w:rsid w:val="006460C6"/>
    <w:rsid w:val="00646297"/>
    <w:rsid w:val="006463FD"/>
    <w:rsid w:val="00646554"/>
    <w:rsid w:val="00646800"/>
    <w:rsid w:val="00646B40"/>
    <w:rsid w:val="00646BBA"/>
    <w:rsid w:val="00646F5B"/>
    <w:rsid w:val="00647527"/>
    <w:rsid w:val="00647588"/>
    <w:rsid w:val="0064781C"/>
    <w:rsid w:val="00647D3B"/>
    <w:rsid w:val="00647D40"/>
    <w:rsid w:val="00647E2A"/>
    <w:rsid w:val="00650143"/>
    <w:rsid w:val="0065027B"/>
    <w:rsid w:val="006502AA"/>
    <w:rsid w:val="006502C5"/>
    <w:rsid w:val="0065041E"/>
    <w:rsid w:val="0065057F"/>
    <w:rsid w:val="006508A5"/>
    <w:rsid w:val="00650925"/>
    <w:rsid w:val="00650AF4"/>
    <w:rsid w:val="00650B5A"/>
    <w:rsid w:val="00650D0B"/>
    <w:rsid w:val="00650ED3"/>
    <w:rsid w:val="00651248"/>
    <w:rsid w:val="006514C5"/>
    <w:rsid w:val="006514FA"/>
    <w:rsid w:val="00651623"/>
    <w:rsid w:val="006516C7"/>
    <w:rsid w:val="00651922"/>
    <w:rsid w:val="00651BA0"/>
    <w:rsid w:val="00651CC7"/>
    <w:rsid w:val="00651D31"/>
    <w:rsid w:val="00651D7A"/>
    <w:rsid w:val="00652338"/>
    <w:rsid w:val="00652409"/>
    <w:rsid w:val="0065260A"/>
    <w:rsid w:val="00652A52"/>
    <w:rsid w:val="00652FB3"/>
    <w:rsid w:val="0065301C"/>
    <w:rsid w:val="0065335F"/>
    <w:rsid w:val="00653462"/>
    <w:rsid w:val="00653651"/>
    <w:rsid w:val="0065369F"/>
    <w:rsid w:val="006537D9"/>
    <w:rsid w:val="00653A31"/>
    <w:rsid w:val="00653B94"/>
    <w:rsid w:val="00653F69"/>
    <w:rsid w:val="0065427A"/>
    <w:rsid w:val="006544E1"/>
    <w:rsid w:val="0065470F"/>
    <w:rsid w:val="006547F4"/>
    <w:rsid w:val="00654A09"/>
    <w:rsid w:val="00654CBC"/>
    <w:rsid w:val="00654D9A"/>
    <w:rsid w:val="006553BE"/>
    <w:rsid w:val="006559BA"/>
    <w:rsid w:val="00655BE8"/>
    <w:rsid w:val="00655E19"/>
    <w:rsid w:val="00655EBA"/>
    <w:rsid w:val="00656072"/>
    <w:rsid w:val="00656216"/>
    <w:rsid w:val="006563E1"/>
    <w:rsid w:val="006563F8"/>
    <w:rsid w:val="00656701"/>
    <w:rsid w:val="006568A2"/>
    <w:rsid w:val="00656A12"/>
    <w:rsid w:val="00656B70"/>
    <w:rsid w:val="00656DA3"/>
    <w:rsid w:val="00656E35"/>
    <w:rsid w:val="00656FD5"/>
    <w:rsid w:val="00657364"/>
    <w:rsid w:val="006576B6"/>
    <w:rsid w:val="00657ABB"/>
    <w:rsid w:val="00657AE0"/>
    <w:rsid w:val="00657AE6"/>
    <w:rsid w:val="00657CE8"/>
    <w:rsid w:val="00657D1E"/>
    <w:rsid w:val="00660074"/>
    <w:rsid w:val="006600E3"/>
    <w:rsid w:val="006602E3"/>
    <w:rsid w:val="0066038C"/>
    <w:rsid w:val="006607A7"/>
    <w:rsid w:val="00660C0C"/>
    <w:rsid w:val="00660E1A"/>
    <w:rsid w:val="00661474"/>
    <w:rsid w:val="00661F84"/>
    <w:rsid w:val="006620A9"/>
    <w:rsid w:val="0066215B"/>
    <w:rsid w:val="00662968"/>
    <w:rsid w:val="00662AFA"/>
    <w:rsid w:val="00662DA0"/>
    <w:rsid w:val="006634D8"/>
    <w:rsid w:val="00663666"/>
    <w:rsid w:val="00663760"/>
    <w:rsid w:val="00663A0F"/>
    <w:rsid w:val="00663B29"/>
    <w:rsid w:val="00663EFF"/>
    <w:rsid w:val="0066426A"/>
    <w:rsid w:val="0066449B"/>
    <w:rsid w:val="006644C5"/>
    <w:rsid w:val="006646B6"/>
    <w:rsid w:val="0066470B"/>
    <w:rsid w:val="006647C8"/>
    <w:rsid w:val="006648B4"/>
    <w:rsid w:val="00664CA7"/>
    <w:rsid w:val="00664DA8"/>
    <w:rsid w:val="00664E2F"/>
    <w:rsid w:val="0066503C"/>
    <w:rsid w:val="006654B6"/>
    <w:rsid w:val="00665B3A"/>
    <w:rsid w:val="00665BD6"/>
    <w:rsid w:val="00665E37"/>
    <w:rsid w:val="00665FB0"/>
    <w:rsid w:val="00665FD2"/>
    <w:rsid w:val="00666384"/>
    <w:rsid w:val="006666BD"/>
    <w:rsid w:val="006668F7"/>
    <w:rsid w:val="00666B86"/>
    <w:rsid w:val="00666E69"/>
    <w:rsid w:val="006676CF"/>
    <w:rsid w:val="006677DC"/>
    <w:rsid w:val="00667AD6"/>
    <w:rsid w:val="00667B79"/>
    <w:rsid w:val="00667F3B"/>
    <w:rsid w:val="00667F43"/>
    <w:rsid w:val="00670033"/>
    <w:rsid w:val="006703FA"/>
    <w:rsid w:val="00670BBB"/>
    <w:rsid w:val="00670D6E"/>
    <w:rsid w:val="00671007"/>
    <w:rsid w:val="006710A3"/>
    <w:rsid w:val="006710D4"/>
    <w:rsid w:val="0067145C"/>
    <w:rsid w:val="006714D4"/>
    <w:rsid w:val="00671675"/>
    <w:rsid w:val="0067175B"/>
    <w:rsid w:val="00671797"/>
    <w:rsid w:val="00671B1A"/>
    <w:rsid w:val="00671F8C"/>
    <w:rsid w:val="00672585"/>
    <w:rsid w:val="006725A8"/>
    <w:rsid w:val="006725BC"/>
    <w:rsid w:val="00672970"/>
    <w:rsid w:val="006729D6"/>
    <w:rsid w:val="00672B97"/>
    <w:rsid w:val="00672CF2"/>
    <w:rsid w:val="00673024"/>
    <w:rsid w:val="00673035"/>
    <w:rsid w:val="006733F0"/>
    <w:rsid w:val="0067349D"/>
    <w:rsid w:val="0067373A"/>
    <w:rsid w:val="00673896"/>
    <w:rsid w:val="006738D4"/>
    <w:rsid w:val="00673CB5"/>
    <w:rsid w:val="00673F51"/>
    <w:rsid w:val="006743C8"/>
    <w:rsid w:val="00674525"/>
    <w:rsid w:val="0067461E"/>
    <w:rsid w:val="006746C8"/>
    <w:rsid w:val="006746F4"/>
    <w:rsid w:val="006748B7"/>
    <w:rsid w:val="0067490E"/>
    <w:rsid w:val="00674A3F"/>
    <w:rsid w:val="00674D7D"/>
    <w:rsid w:val="00674DBA"/>
    <w:rsid w:val="00674E84"/>
    <w:rsid w:val="00675078"/>
    <w:rsid w:val="00675791"/>
    <w:rsid w:val="006758AD"/>
    <w:rsid w:val="00675B56"/>
    <w:rsid w:val="00675DDB"/>
    <w:rsid w:val="00675F8C"/>
    <w:rsid w:val="006760F5"/>
    <w:rsid w:val="00676205"/>
    <w:rsid w:val="00676652"/>
    <w:rsid w:val="006766ED"/>
    <w:rsid w:val="00676783"/>
    <w:rsid w:val="00676ACE"/>
    <w:rsid w:val="00676B7A"/>
    <w:rsid w:val="00676B96"/>
    <w:rsid w:val="00676EB8"/>
    <w:rsid w:val="00677080"/>
    <w:rsid w:val="00677502"/>
    <w:rsid w:val="00677699"/>
    <w:rsid w:val="006776B1"/>
    <w:rsid w:val="006779DE"/>
    <w:rsid w:val="00677E0C"/>
    <w:rsid w:val="00677EAD"/>
    <w:rsid w:val="00680532"/>
    <w:rsid w:val="00680855"/>
    <w:rsid w:val="00680972"/>
    <w:rsid w:val="00680B46"/>
    <w:rsid w:val="00680CF6"/>
    <w:rsid w:val="00680D41"/>
    <w:rsid w:val="00680E79"/>
    <w:rsid w:val="00680E98"/>
    <w:rsid w:val="00680F63"/>
    <w:rsid w:val="006810FD"/>
    <w:rsid w:val="006814B0"/>
    <w:rsid w:val="00681577"/>
    <w:rsid w:val="006818AF"/>
    <w:rsid w:val="00682187"/>
    <w:rsid w:val="00682220"/>
    <w:rsid w:val="006822B8"/>
    <w:rsid w:val="006827D7"/>
    <w:rsid w:val="00682A6E"/>
    <w:rsid w:val="00682BC7"/>
    <w:rsid w:val="00682EF0"/>
    <w:rsid w:val="00683300"/>
    <w:rsid w:val="006835C7"/>
    <w:rsid w:val="006836F5"/>
    <w:rsid w:val="00683E30"/>
    <w:rsid w:val="00683EA7"/>
    <w:rsid w:val="00683EE9"/>
    <w:rsid w:val="00684244"/>
    <w:rsid w:val="00684BBF"/>
    <w:rsid w:val="00684BF9"/>
    <w:rsid w:val="00684FFB"/>
    <w:rsid w:val="006850B4"/>
    <w:rsid w:val="006850EA"/>
    <w:rsid w:val="00685215"/>
    <w:rsid w:val="00685384"/>
    <w:rsid w:val="006857AC"/>
    <w:rsid w:val="006857C5"/>
    <w:rsid w:val="006858C8"/>
    <w:rsid w:val="00685BCA"/>
    <w:rsid w:val="00685C5C"/>
    <w:rsid w:val="00685E70"/>
    <w:rsid w:val="00686070"/>
    <w:rsid w:val="006860AE"/>
    <w:rsid w:val="006862BB"/>
    <w:rsid w:val="006866E6"/>
    <w:rsid w:val="006868E6"/>
    <w:rsid w:val="00686F5B"/>
    <w:rsid w:val="00687047"/>
    <w:rsid w:val="00687210"/>
    <w:rsid w:val="00687486"/>
    <w:rsid w:val="006875EA"/>
    <w:rsid w:val="00687678"/>
    <w:rsid w:val="00687683"/>
    <w:rsid w:val="0068787D"/>
    <w:rsid w:val="006878C7"/>
    <w:rsid w:val="006879B4"/>
    <w:rsid w:val="006879E9"/>
    <w:rsid w:val="00687E4A"/>
    <w:rsid w:val="006903F4"/>
    <w:rsid w:val="006904D1"/>
    <w:rsid w:val="00690928"/>
    <w:rsid w:val="006912A3"/>
    <w:rsid w:val="00691952"/>
    <w:rsid w:val="00692119"/>
    <w:rsid w:val="00692256"/>
    <w:rsid w:val="006922A4"/>
    <w:rsid w:val="00692325"/>
    <w:rsid w:val="00692524"/>
    <w:rsid w:val="006926B1"/>
    <w:rsid w:val="00692855"/>
    <w:rsid w:val="006929E3"/>
    <w:rsid w:val="00692A26"/>
    <w:rsid w:val="00692B00"/>
    <w:rsid w:val="00692CFE"/>
    <w:rsid w:val="00692D80"/>
    <w:rsid w:val="00692E2E"/>
    <w:rsid w:val="00692F6B"/>
    <w:rsid w:val="0069304D"/>
    <w:rsid w:val="006930AE"/>
    <w:rsid w:val="006933DF"/>
    <w:rsid w:val="0069340C"/>
    <w:rsid w:val="006934CD"/>
    <w:rsid w:val="006934E9"/>
    <w:rsid w:val="006935DA"/>
    <w:rsid w:val="00693799"/>
    <w:rsid w:val="0069384D"/>
    <w:rsid w:val="00693D4E"/>
    <w:rsid w:val="006940D6"/>
    <w:rsid w:val="006941BB"/>
    <w:rsid w:val="006941C8"/>
    <w:rsid w:val="006943E5"/>
    <w:rsid w:val="00694610"/>
    <w:rsid w:val="0069469C"/>
    <w:rsid w:val="00694716"/>
    <w:rsid w:val="006947C4"/>
    <w:rsid w:val="00694830"/>
    <w:rsid w:val="00694C03"/>
    <w:rsid w:val="00694E18"/>
    <w:rsid w:val="00695052"/>
    <w:rsid w:val="00695344"/>
    <w:rsid w:val="00695431"/>
    <w:rsid w:val="0069575F"/>
    <w:rsid w:val="00695784"/>
    <w:rsid w:val="0069597A"/>
    <w:rsid w:val="00695A0C"/>
    <w:rsid w:val="00695AD0"/>
    <w:rsid w:val="00695B61"/>
    <w:rsid w:val="00695ECF"/>
    <w:rsid w:val="00695EDE"/>
    <w:rsid w:val="00695EFD"/>
    <w:rsid w:val="00695F9E"/>
    <w:rsid w:val="006964EF"/>
    <w:rsid w:val="006967F7"/>
    <w:rsid w:val="00696978"/>
    <w:rsid w:val="00696DD6"/>
    <w:rsid w:val="00696F50"/>
    <w:rsid w:val="00697194"/>
    <w:rsid w:val="0069742B"/>
    <w:rsid w:val="00697602"/>
    <w:rsid w:val="006978C9"/>
    <w:rsid w:val="00697917"/>
    <w:rsid w:val="00697949"/>
    <w:rsid w:val="00697BA4"/>
    <w:rsid w:val="00697BC7"/>
    <w:rsid w:val="006A03FC"/>
    <w:rsid w:val="006A0642"/>
    <w:rsid w:val="006A0A5A"/>
    <w:rsid w:val="006A0A98"/>
    <w:rsid w:val="006A1139"/>
    <w:rsid w:val="006A1174"/>
    <w:rsid w:val="006A1285"/>
    <w:rsid w:val="006A143C"/>
    <w:rsid w:val="006A15AE"/>
    <w:rsid w:val="006A15F2"/>
    <w:rsid w:val="006A16CF"/>
    <w:rsid w:val="006A184B"/>
    <w:rsid w:val="006A1A15"/>
    <w:rsid w:val="006A1A5B"/>
    <w:rsid w:val="006A1ABC"/>
    <w:rsid w:val="006A1EC2"/>
    <w:rsid w:val="006A1F1C"/>
    <w:rsid w:val="006A23BA"/>
    <w:rsid w:val="006A274C"/>
    <w:rsid w:val="006A28EB"/>
    <w:rsid w:val="006A28FA"/>
    <w:rsid w:val="006A2AAA"/>
    <w:rsid w:val="006A2B4B"/>
    <w:rsid w:val="006A2D27"/>
    <w:rsid w:val="006A2EE0"/>
    <w:rsid w:val="006A2F2B"/>
    <w:rsid w:val="006A3083"/>
    <w:rsid w:val="006A383F"/>
    <w:rsid w:val="006A3890"/>
    <w:rsid w:val="006A3DA8"/>
    <w:rsid w:val="006A4289"/>
    <w:rsid w:val="006A45AB"/>
    <w:rsid w:val="006A4EC4"/>
    <w:rsid w:val="006A4FDF"/>
    <w:rsid w:val="006A5049"/>
    <w:rsid w:val="006A538D"/>
    <w:rsid w:val="006A5472"/>
    <w:rsid w:val="006A5562"/>
    <w:rsid w:val="006A5737"/>
    <w:rsid w:val="006A58C0"/>
    <w:rsid w:val="006A5972"/>
    <w:rsid w:val="006A5CAA"/>
    <w:rsid w:val="006A5E05"/>
    <w:rsid w:val="006A6111"/>
    <w:rsid w:val="006A6173"/>
    <w:rsid w:val="006A6246"/>
    <w:rsid w:val="006A6753"/>
    <w:rsid w:val="006A67C9"/>
    <w:rsid w:val="006A6A5D"/>
    <w:rsid w:val="006A6B15"/>
    <w:rsid w:val="006A70D7"/>
    <w:rsid w:val="006A718C"/>
    <w:rsid w:val="006A7470"/>
    <w:rsid w:val="006A7629"/>
    <w:rsid w:val="006A789E"/>
    <w:rsid w:val="006A794B"/>
    <w:rsid w:val="006A7F01"/>
    <w:rsid w:val="006A7FF2"/>
    <w:rsid w:val="006B03F6"/>
    <w:rsid w:val="006B0438"/>
    <w:rsid w:val="006B04C5"/>
    <w:rsid w:val="006B066A"/>
    <w:rsid w:val="006B1140"/>
    <w:rsid w:val="006B142B"/>
    <w:rsid w:val="006B1730"/>
    <w:rsid w:val="006B19BC"/>
    <w:rsid w:val="006B1C86"/>
    <w:rsid w:val="006B1CB9"/>
    <w:rsid w:val="006B1D84"/>
    <w:rsid w:val="006B1DD4"/>
    <w:rsid w:val="006B1FCF"/>
    <w:rsid w:val="006B2094"/>
    <w:rsid w:val="006B2575"/>
    <w:rsid w:val="006B2721"/>
    <w:rsid w:val="006B28E6"/>
    <w:rsid w:val="006B2AAB"/>
    <w:rsid w:val="006B2AC3"/>
    <w:rsid w:val="006B2C84"/>
    <w:rsid w:val="006B2D97"/>
    <w:rsid w:val="006B2EC5"/>
    <w:rsid w:val="006B3061"/>
    <w:rsid w:val="006B31BB"/>
    <w:rsid w:val="006B3356"/>
    <w:rsid w:val="006B394E"/>
    <w:rsid w:val="006B43CF"/>
    <w:rsid w:val="006B4612"/>
    <w:rsid w:val="006B4667"/>
    <w:rsid w:val="006B476E"/>
    <w:rsid w:val="006B4A1A"/>
    <w:rsid w:val="006B4D0F"/>
    <w:rsid w:val="006B4FA3"/>
    <w:rsid w:val="006B513E"/>
    <w:rsid w:val="006B54A9"/>
    <w:rsid w:val="006B5678"/>
    <w:rsid w:val="006B5764"/>
    <w:rsid w:val="006B5AB3"/>
    <w:rsid w:val="006B611B"/>
    <w:rsid w:val="006B6808"/>
    <w:rsid w:val="006B6C7B"/>
    <w:rsid w:val="006B6D81"/>
    <w:rsid w:val="006B6FF0"/>
    <w:rsid w:val="006B7178"/>
    <w:rsid w:val="006B736A"/>
    <w:rsid w:val="006B7761"/>
    <w:rsid w:val="006B7883"/>
    <w:rsid w:val="006B7CA5"/>
    <w:rsid w:val="006B7E53"/>
    <w:rsid w:val="006B7F07"/>
    <w:rsid w:val="006B7F96"/>
    <w:rsid w:val="006C0186"/>
    <w:rsid w:val="006C085A"/>
    <w:rsid w:val="006C0B21"/>
    <w:rsid w:val="006C0CEC"/>
    <w:rsid w:val="006C1057"/>
    <w:rsid w:val="006C1665"/>
    <w:rsid w:val="006C17FC"/>
    <w:rsid w:val="006C18D7"/>
    <w:rsid w:val="006C1B76"/>
    <w:rsid w:val="006C1F2E"/>
    <w:rsid w:val="006C20D1"/>
    <w:rsid w:val="006C21B7"/>
    <w:rsid w:val="006C2232"/>
    <w:rsid w:val="006C2246"/>
    <w:rsid w:val="006C23EF"/>
    <w:rsid w:val="006C25B5"/>
    <w:rsid w:val="006C274B"/>
    <w:rsid w:val="006C2805"/>
    <w:rsid w:val="006C290D"/>
    <w:rsid w:val="006C2A64"/>
    <w:rsid w:val="006C2C74"/>
    <w:rsid w:val="006C2F17"/>
    <w:rsid w:val="006C2FD7"/>
    <w:rsid w:val="006C3237"/>
    <w:rsid w:val="006C3404"/>
    <w:rsid w:val="006C3620"/>
    <w:rsid w:val="006C37A0"/>
    <w:rsid w:val="006C3829"/>
    <w:rsid w:val="006C3878"/>
    <w:rsid w:val="006C3A54"/>
    <w:rsid w:val="006C3B7E"/>
    <w:rsid w:val="006C3CC5"/>
    <w:rsid w:val="006C3E04"/>
    <w:rsid w:val="006C444F"/>
    <w:rsid w:val="006C4532"/>
    <w:rsid w:val="006C47C5"/>
    <w:rsid w:val="006C4906"/>
    <w:rsid w:val="006C4F71"/>
    <w:rsid w:val="006C511B"/>
    <w:rsid w:val="006C5271"/>
    <w:rsid w:val="006C55C0"/>
    <w:rsid w:val="006C5625"/>
    <w:rsid w:val="006C5781"/>
    <w:rsid w:val="006C58F7"/>
    <w:rsid w:val="006C5B5E"/>
    <w:rsid w:val="006C5CC1"/>
    <w:rsid w:val="006C5DCC"/>
    <w:rsid w:val="006C5DCE"/>
    <w:rsid w:val="006C5DEA"/>
    <w:rsid w:val="006C6058"/>
    <w:rsid w:val="006C6117"/>
    <w:rsid w:val="006C68F0"/>
    <w:rsid w:val="006C6A9D"/>
    <w:rsid w:val="006C70AA"/>
    <w:rsid w:val="006C7752"/>
    <w:rsid w:val="006C77CD"/>
    <w:rsid w:val="006C7F6B"/>
    <w:rsid w:val="006D0439"/>
    <w:rsid w:val="006D0B18"/>
    <w:rsid w:val="006D0BA9"/>
    <w:rsid w:val="006D0C73"/>
    <w:rsid w:val="006D0E22"/>
    <w:rsid w:val="006D101D"/>
    <w:rsid w:val="006D1328"/>
    <w:rsid w:val="006D1700"/>
    <w:rsid w:val="006D1765"/>
    <w:rsid w:val="006D18AE"/>
    <w:rsid w:val="006D196D"/>
    <w:rsid w:val="006D1A55"/>
    <w:rsid w:val="006D1C70"/>
    <w:rsid w:val="006D1D5D"/>
    <w:rsid w:val="006D1DF2"/>
    <w:rsid w:val="006D2570"/>
    <w:rsid w:val="006D27CC"/>
    <w:rsid w:val="006D2B5F"/>
    <w:rsid w:val="006D37D1"/>
    <w:rsid w:val="006D3862"/>
    <w:rsid w:val="006D3B1F"/>
    <w:rsid w:val="006D3CBE"/>
    <w:rsid w:val="006D3D31"/>
    <w:rsid w:val="006D3DF4"/>
    <w:rsid w:val="006D3ED5"/>
    <w:rsid w:val="006D41EC"/>
    <w:rsid w:val="006D42DE"/>
    <w:rsid w:val="006D435A"/>
    <w:rsid w:val="006D44B2"/>
    <w:rsid w:val="006D4783"/>
    <w:rsid w:val="006D47A4"/>
    <w:rsid w:val="006D4A4B"/>
    <w:rsid w:val="006D4B59"/>
    <w:rsid w:val="006D4D9B"/>
    <w:rsid w:val="006D4E62"/>
    <w:rsid w:val="006D5596"/>
    <w:rsid w:val="006D5668"/>
    <w:rsid w:val="006D5689"/>
    <w:rsid w:val="006D5E2D"/>
    <w:rsid w:val="006D6358"/>
    <w:rsid w:val="006D63CF"/>
    <w:rsid w:val="006D65BF"/>
    <w:rsid w:val="006D6782"/>
    <w:rsid w:val="006D6982"/>
    <w:rsid w:val="006D69C7"/>
    <w:rsid w:val="006D69D8"/>
    <w:rsid w:val="006D6CFA"/>
    <w:rsid w:val="006D7007"/>
    <w:rsid w:val="006D70F0"/>
    <w:rsid w:val="006D7C75"/>
    <w:rsid w:val="006D7CB6"/>
    <w:rsid w:val="006D7DAD"/>
    <w:rsid w:val="006E03C7"/>
    <w:rsid w:val="006E04D0"/>
    <w:rsid w:val="006E064D"/>
    <w:rsid w:val="006E0B2F"/>
    <w:rsid w:val="006E1041"/>
    <w:rsid w:val="006E10FA"/>
    <w:rsid w:val="006E12B1"/>
    <w:rsid w:val="006E1584"/>
    <w:rsid w:val="006E164C"/>
    <w:rsid w:val="006E1865"/>
    <w:rsid w:val="006E1930"/>
    <w:rsid w:val="006E1A38"/>
    <w:rsid w:val="006E1B41"/>
    <w:rsid w:val="006E218E"/>
    <w:rsid w:val="006E21A0"/>
    <w:rsid w:val="006E2925"/>
    <w:rsid w:val="006E2AE4"/>
    <w:rsid w:val="006E2DB5"/>
    <w:rsid w:val="006E2DEB"/>
    <w:rsid w:val="006E2E76"/>
    <w:rsid w:val="006E2E86"/>
    <w:rsid w:val="006E2E9A"/>
    <w:rsid w:val="006E34AD"/>
    <w:rsid w:val="006E3523"/>
    <w:rsid w:val="006E3645"/>
    <w:rsid w:val="006E38F6"/>
    <w:rsid w:val="006E3A16"/>
    <w:rsid w:val="006E3E06"/>
    <w:rsid w:val="006E3F6F"/>
    <w:rsid w:val="006E3FCD"/>
    <w:rsid w:val="006E4284"/>
    <w:rsid w:val="006E4AC2"/>
    <w:rsid w:val="006E4AC9"/>
    <w:rsid w:val="006E4C79"/>
    <w:rsid w:val="006E4CAD"/>
    <w:rsid w:val="006E4D21"/>
    <w:rsid w:val="006E54FB"/>
    <w:rsid w:val="006E5576"/>
    <w:rsid w:val="006E55E8"/>
    <w:rsid w:val="006E58DA"/>
    <w:rsid w:val="006E591C"/>
    <w:rsid w:val="006E594F"/>
    <w:rsid w:val="006E5A00"/>
    <w:rsid w:val="006E5D08"/>
    <w:rsid w:val="006E5E1B"/>
    <w:rsid w:val="006E5E97"/>
    <w:rsid w:val="006E67E3"/>
    <w:rsid w:val="006E701E"/>
    <w:rsid w:val="006E70F0"/>
    <w:rsid w:val="006E73A4"/>
    <w:rsid w:val="006E74E8"/>
    <w:rsid w:val="006E7643"/>
    <w:rsid w:val="006E76C7"/>
    <w:rsid w:val="006E7891"/>
    <w:rsid w:val="006E79B7"/>
    <w:rsid w:val="006E79CC"/>
    <w:rsid w:val="006E7BF0"/>
    <w:rsid w:val="006E7CAC"/>
    <w:rsid w:val="006E7E7F"/>
    <w:rsid w:val="006F02B2"/>
    <w:rsid w:val="006F0383"/>
    <w:rsid w:val="006F03A2"/>
    <w:rsid w:val="006F06E0"/>
    <w:rsid w:val="006F0ACD"/>
    <w:rsid w:val="006F0F33"/>
    <w:rsid w:val="006F1048"/>
    <w:rsid w:val="006F1078"/>
    <w:rsid w:val="006F121D"/>
    <w:rsid w:val="006F1463"/>
    <w:rsid w:val="006F151C"/>
    <w:rsid w:val="006F15A6"/>
    <w:rsid w:val="006F179E"/>
    <w:rsid w:val="006F1E09"/>
    <w:rsid w:val="006F1EE1"/>
    <w:rsid w:val="006F2420"/>
    <w:rsid w:val="006F29BD"/>
    <w:rsid w:val="006F2AE1"/>
    <w:rsid w:val="006F2F61"/>
    <w:rsid w:val="006F3173"/>
    <w:rsid w:val="006F3310"/>
    <w:rsid w:val="006F344D"/>
    <w:rsid w:val="006F35A2"/>
    <w:rsid w:val="006F36CC"/>
    <w:rsid w:val="006F375F"/>
    <w:rsid w:val="006F3B24"/>
    <w:rsid w:val="006F3C91"/>
    <w:rsid w:val="006F3EAA"/>
    <w:rsid w:val="006F40BC"/>
    <w:rsid w:val="006F410B"/>
    <w:rsid w:val="006F44A2"/>
    <w:rsid w:val="006F45FB"/>
    <w:rsid w:val="006F46F0"/>
    <w:rsid w:val="006F4BE4"/>
    <w:rsid w:val="006F4C71"/>
    <w:rsid w:val="006F4C7C"/>
    <w:rsid w:val="006F4FF0"/>
    <w:rsid w:val="006F53B5"/>
    <w:rsid w:val="006F577A"/>
    <w:rsid w:val="006F5A5E"/>
    <w:rsid w:val="006F5F09"/>
    <w:rsid w:val="006F60AC"/>
    <w:rsid w:val="006F611A"/>
    <w:rsid w:val="006F6436"/>
    <w:rsid w:val="006F64A1"/>
    <w:rsid w:val="006F64B4"/>
    <w:rsid w:val="006F663F"/>
    <w:rsid w:val="006F6777"/>
    <w:rsid w:val="006F6C9A"/>
    <w:rsid w:val="006F6E26"/>
    <w:rsid w:val="006F6FE5"/>
    <w:rsid w:val="006F7438"/>
    <w:rsid w:val="006F76BD"/>
    <w:rsid w:val="006F7873"/>
    <w:rsid w:val="006F7981"/>
    <w:rsid w:val="006F7CCA"/>
    <w:rsid w:val="006F7D8E"/>
    <w:rsid w:val="006F7F50"/>
    <w:rsid w:val="007000E9"/>
    <w:rsid w:val="00700164"/>
    <w:rsid w:val="00700438"/>
    <w:rsid w:val="007004DE"/>
    <w:rsid w:val="00700567"/>
    <w:rsid w:val="007006DD"/>
    <w:rsid w:val="00700805"/>
    <w:rsid w:val="00700BAF"/>
    <w:rsid w:val="00700BDB"/>
    <w:rsid w:val="00700D23"/>
    <w:rsid w:val="00700DF0"/>
    <w:rsid w:val="00700E30"/>
    <w:rsid w:val="00700E67"/>
    <w:rsid w:val="00700EAB"/>
    <w:rsid w:val="00700ED2"/>
    <w:rsid w:val="00701448"/>
    <w:rsid w:val="007016C0"/>
    <w:rsid w:val="0070172C"/>
    <w:rsid w:val="007017EF"/>
    <w:rsid w:val="00701A2C"/>
    <w:rsid w:val="00701A3F"/>
    <w:rsid w:val="007022DD"/>
    <w:rsid w:val="0070241F"/>
    <w:rsid w:val="00702476"/>
    <w:rsid w:val="00702510"/>
    <w:rsid w:val="007029E5"/>
    <w:rsid w:val="00702CD1"/>
    <w:rsid w:val="00702E64"/>
    <w:rsid w:val="00703107"/>
    <w:rsid w:val="0070394C"/>
    <w:rsid w:val="00703ECE"/>
    <w:rsid w:val="00703FC8"/>
    <w:rsid w:val="00703FE2"/>
    <w:rsid w:val="007040AD"/>
    <w:rsid w:val="007041ED"/>
    <w:rsid w:val="0070450F"/>
    <w:rsid w:val="007045E1"/>
    <w:rsid w:val="0070469A"/>
    <w:rsid w:val="007046CA"/>
    <w:rsid w:val="007047E5"/>
    <w:rsid w:val="007047E8"/>
    <w:rsid w:val="00704888"/>
    <w:rsid w:val="00704916"/>
    <w:rsid w:val="0070494A"/>
    <w:rsid w:val="00704AC8"/>
    <w:rsid w:val="00704BC6"/>
    <w:rsid w:val="00704F37"/>
    <w:rsid w:val="007054DB"/>
    <w:rsid w:val="007055AF"/>
    <w:rsid w:val="0070575B"/>
    <w:rsid w:val="007058B3"/>
    <w:rsid w:val="00705E32"/>
    <w:rsid w:val="007062B6"/>
    <w:rsid w:val="007063EE"/>
    <w:rsid w:val="0070673C"/>
    <w:rsid w:val="007067B6"/>
    <w:rsid w:val="00706881"/>
    <w:rsid w:val="00706E61"/>
    <w:rsid w:val="00706EE9"/>
    <w:rsid w:val="00706F0C"/>
    <w:rsid w:val="00706F46"/>
    <w:rsid w:val="007073DC"/>
    <w:rsid w:val="007077AB"/>
    <w:rsid w:val="00707822"/>
    <w:rsid w:val="00707865"/>
    <w:rsid w:val="00707E89"/>
    <w:rsid w:val="00707EA0"/>
    <w:rsid w:val="00707EE4"/>
    <w:rsid w:val="00710174"/>
    <w:rsid w:val="0071023F"/>
    <w:rsid w:val="007105CD"/>
    <w:rsid w:val="007108F9"/>
    <w:rsid w:val="00710BAF"/>
    <w:rsid w:val="00710C18"/>
    <w:rsid w:val="00710D4A"/>
    <w:rsid w:val="007110FA"/>
    <w:rsid w:val="0071124D"/>
    <w:rsid w:val="00711481"/>
    <w:rsid w:val="007115E9"/>
    <w:rsid w:val="00711856"/>
    <w:rsid w:val="007118C8"/>
    <w:rsid w:val="007119D1"/>
    <w:rsid w:val="00711CB1"/>
    <w:rsid w:val="00711F68"/>
    <w:rsid w:val="00711FAE"/>
    <w:rsid w:val="00712100"/>
    <w:rsid w:val="007126A2"/>
    <w:rsid w:val="00712AE3"/>
    <w:rsid w:val="00712C67"/>
    <w:rsid w:val="00712E46"/>
    <w:rsid w:val="00712F68"/>
    <w:rsid w:val="007134B6"/>
    <w:rsid w:val="0071361B"/>
    <w:rsid w:val="00713690"/>
    <w:rsid w:val="00713753"/>
    <w:rsid w:val="007137D8"/>
    <w:rsid w:val="00713BAB"/>
    <w:rsid w:val="00714120"/>
    <w:rsid w:val="0071455E"/>
    <w:rsid w:val="0071495A"/>
    <w:rsid w:val="007150E6"/>
    <w:rsid w:val="007152AB"/>
    <w:rsid w:val="007159D0"/>
    <w:rsid w:val="00715A2D"/>
    <w:rsid w:val="00715BF8"/>
    <w:rsid w:val="00715E56"/>
    <w:rsid w:val="007160E7"/>
    <w:rsid w:val="00716161"/>
    <w:rsid w:val="007161D4"/>
    <w:rsid w:val="007162CB"/>
    <w:rsid w:val="007166F4"/>
    <w:rsid w:val="0071685D"/>
    <w:rsid w:val="00716942"/>
    <w:rsid w:val="00716999"/>
    <w:rsid w:val="00716CCB"/>
    <w:rsid w:val="00716D09"/>
    <w:rsid w:val="00716D57"/>
    <w:rsid w:val="00717303"/>
    <w:rsid w:val="0071783A"/>
    <w:rsid w:val="00717C23"/>
    <w:rsid w:val="00717EC8"/>
    <w:rsid w:val="00720018"/>
    <w:rsid w:val="00720038"/>
    <w:rsid w:val="0072056A"/>
    <w:rsid w:val="007208FA"/>
    <w:rsid w:val="0072098A"/>
    <w:rsid w:val="00720B50"/>
    <w:rsid w:val="00720C77"/>
    <w:rsid w:val="00721137"/>
    <w:rsid w:val="007212FD"/>
    <w:rsid w:val="00721401"/>
    <w:rsid w:val="0072152D"/>
    <w:rsid w:val="0072196D"/>
    <w:rsid w:val="00721AD5"/>
    <w:rsid w:val="00721BAD"/>
    <w:rsid w:val="00721D54"/>
    <w:rsid w:val="00721DCB"/>
    <w:rsid w:val="00721E74"/>
    <w:rsid w:val="00722094"/>
    <w:rsid w:val="00722411"/>
    <w:rsid w:val="007224D7"/>
    <w:rsid w:val="007226A5"/>
    <w:rsid w:val="00722839"/>
    <w:rsid w:val="00722B1C"/>
    <w:rsid w:val="00722BCB"/>
    <w:rsid w:val="00722DBA"/>
    <w:rsid w:val="00722DFE"/>
    <w:rsid w:val="00723167"/>
    <w:rsid w:val="00723344"/>
    <w:rsid w:val="00723559"/>
    <w:rsid w:val="007235CB"/>
    <w:rsid w:val="0072364F"/>
    <w:rsid w:val="007238E3"/>
    <w:rsid w:val="00723DAD"/>
    <w:rsid w:val="0072408D"/>
    <w:rsid w:val="0072412E"/>
    <w:rsid w:val="00724403"/>
    <w:rsid w:val="007246F0"/>
    <w:rsid w:val="00724B17"/>
    <w:rsid w:val="00724C35"/>
    <w:rsid w:val="00724C51"/>
    <w:rsid w:val="0072504F"/>
    <w:rsid w:val="007250FD"/>
    <w:rsid w:val="00725169"/>
    <w:rsid w:val="007251A8"/>
    <w:rsid w:val="007251C7"/>
    <w:rsid w:val="007252E2"/>
    <w:rsid w:val="007255C5"/>
    <w:rsid w:val="0072571D"/>
    <w:rsid w:val="007257B4"/>
    <w:rsid w:val="00725CB6"/>
    <w:rsid w:val="00725CC8"/>
    <w:rsid w:val="007260DB"/>
    <w:rsid w:val="00726370"/>
    <w:rsid w:val="00726390"/>
    <w:rsid w:val="0072639E"/>
    <w:rsid w:val="007263F0"/>
    <w:rsid w:val="0072688C"/>
    <w:rsid w:val="00726ADE"/>
    <w:rsid w:val="00726B55"/>
    <w:rsid w:val="00726EAB"/>
    <w:rsid w:val="00726F29"/>
    <w:rsid w:val="00726F41"/>
    <w:rsid w:val="007273E1"/>
    <w:rsid w:val="007276D0"/>
    <w:rsid w:val="00727795"/>
    <w:rsid w:val="00727B41"/>
    <w:rsid w:val="00727BFB"/>
    <w:rsid w:val="00727C01"/>
    <w:rsid w:val="00727CBE"/>
    <w:rsid w:val="007301EE"/>
    <w:rsid w:val="0073026F"/>
    <w:rsid w:val="00730509"/>
    <w:rsid w:val="00730D39"/>
    <w:rsid w:val="00730E0A"/>
    <w:rsid w:val="00730E87"/>
    <w:rsid w:val="00730F45"/>
    <w:rsid w:val="00730FC5"/>
    <w:rsid w:val="00731293"/>
    <w:rsid w:val="0073145B"/>
    <w:rsid w:val="007314A5"/>
    <w:rsid w:val="0073159D"/>
    <w:rsid w:val="00731827"/>
    <w:rsid w:val="007319CF"/>
    <w:rsid w:val="00731AC2"/>
    <w:rsid w:val="00731D5B"/>
    <w:rsid w:val="00731D9D"/>
    <w:rsid w:val="00731FBC"/>
    <w:rsid w:val="0073208B"/>
    <w:rsid w:val="0073218F"/>
    <w:rsid w:val="00732252"/>
    <w:rsid w:val="0073231F"/>
    <w:rsid w:val="00732854"/>
    <w:rsid w:val="007329E6"/>
    <w:rsid w:val="00732AB5"/>
    <w:rsid w:val="00732AE4"/>
    <w:rsid w:val="00732BB5"/>
    <w:rsid w:val="00732E09"/>
    <w:rsid w:val="007330D0"/>
    <w:rsid w:val="0073310B"/>
    <w:rsid w:val="00733506"/>
    <w:rsid w:val="007343C1"/>
    <w:rsid w:val="007343F6"/>
    <w:rsid w:val="00734CD0"/>
    <w:rsid w:val="00734E7C"/>
    <w:rsid w:val="00734FB3"/>
    <w:rsid w:val="00734FBB"/>
    <w:rsid w:val="00734FF2"/>
    <w:rsid w:val="00735F45"/>
    <w:rsid w:val="00736168"/>
    <w:rsid w:val="0073677E"/>
    <w:rsid w:val="00736AAF"/>
    <w:rsid w:val="00736AC4"/>
    <w:rsid w:val="00736BB1"/>
    <w:rsid w:val="00736BD2"/>
    <w:rsid w:val="00736D79"/>
    <w:rsid w:val="00736E29"/>
    <w:rsid w:val="00736F90"/>
    <w:rsid w:val="007370CB"/>
    <w:rsid w:val="0073740C"/>
    <w:rsid w:val="00737A5F"/>
    <w:rsid w:val="00737ABC"/>
    <w:rsid w:val="00737CB2"/>
    <w:rsid w:val="0074010B"/>
    <w:rsid w:val="007403F8"/>
    <w:rsid w:val="00740414"/>
    <w:rsid w:val="00740435"/>
    <w:rsid w:val="007404F1"/>
    <w:rsid w:val="00740566"/>
    <w:rsid w:val="00740849"/>
    <w:rsid w:val="007408A5"/>
    <w:rsid w:val="007408D3"/>
    <w:rsid w:val="00740AC8"/>
    <w:rsid w:val="00740CDB"/>
    <w:rsid w:val="00740E1A"/>
    <w:rsid w:val="00740E9B"/>
    <w:rsid w:val="007411CE"/>
    <w:rsid w:val="00741281"/>
    <w:rsid w:val="00741333"/>
    <w:rsid w:val="007413D3"/>
    <w:rsid w:val="00741639"/>
    <w:rsid w:val="00741992"/>
    <w:rsid w:val="007420E5"/>
    <w:rsid w:val="00742175"/>
    <w:rsid w:val="007421E7"/>
    <w:rsid w:val="00742645"/>
    <w:rsid w:val="0074265D"/>
    <w:rsid w:val="00742B11"/>
    <w:rsid w:val="00742E1E"/>
    <w:rsid w:val="00742E4A"/>
    <w:rsid w:val="00742F39"/>
    <w:rsid w:val="007431D6"/>
    <w:rsid w:val="0074344F"/>
    <w:rsid w:val="0074356B"/>
    <w:rsid w:val="00743970"/>
    <w:rsid w:val="00743AD8"/>
    <w:rsid w:val="00743DA4"/>
    <w:rsid w:val="00743E0E"/>
    <w:rsid w:val="0074402C"/>
    <w:rsid w:val="0074409E"/>
    <w:rsid w:val="0074425F"/>
    <w:rsid w:val="007444B3"/>
    <w:rsid w:val="00744529"/>
    <w:rsid w:val="0074463F"/>
    <w:rsid w:val="007446C1"/>
    <w:rsid w:val="00744B6A"/>
    <w:rsid w:val="00744B9E"/>
    <w:rsid w:val="00744D31"/>
    <w:rsid w:val="00744D61"/>
    <w:rsid w:val="00744DC8"/>
    <w:rsid w:val="00744F11"/>
    <w:rsid w:val="00745110"/>
    <w:rsid w:val="007451B5"/>
    <w:rsid w:val="0074540F"/>
    <w:rsid w:val="00745449"/>
    <w:rsid w:val="00745959"/>
    <w:rsid w:val="00745B9C"/>
    <w:rsid w:val="00745C92"/>
    <w:rsid w:val="00745D9C"/>
    <w:rsid w:val="00745E0B"/>
    <w:rsid w:val="00745E13"/>
    <w:rsid w:val="00745E1C"/>
    <w:rsid w:val="00746150"/>
    <w:rsid w:val="007464A8"/>
    <w:rsid w:val="0074650E"/>
    <w:rsid w:val="00746CFA"/>
    <w:rsid w:val="00746D6C"/>
    <w:rsid w:val="00746DFA"/>
    <w:rsid w:val="00746F32"/>
    <w:rsid w:val="007470FE"/>
    <w:rsid w:val="00747276"/>
    <w:rsid w:val="007475ED"/>
    <w:rsid w:val="0074791C"/>
    <w:rsid w:val="00747960"/>
    <w:rsid w:val="00747AF4"/>
    <w:rsid w:val="00747B9D"/>
    <w:rsid w:val="00747BEE"/>
    <w:rsid w:val="00747D07"/>
    <w:rsid w:val="0075019C"/>
    <w:rsid w:val="00750259"/>
    <w:rsid w:val="00750382"/>
    <w:rsid w:val="0075038A"/>
    <w:rsid w:val="007503EF"/>
    <w:rsid w:val="00750564"/>
    <w:rsid w:val="00750675"/>
    <w:rsid w:val="007506C2"/>
    <w:rsid w:val="00750B3D"/>
    <w:rsid w:val="00750F45"/>
    <w:rsid w:val="0075115B"/>
    <w:rsid w:val="0075154B"/>
    <w:rsid w:val="007519ED"/>
    <w:rsid w:val="00751CFC"/>
    <w:rsid w:val="00752575"/>
    <w:rsid w:val="007525E9"/>
    <w:rsid w:val="007526EA"/>
    <w:rsid w:val="0075293E"/>
    <w:rsid w:val="00752A90"/>
    <w:rsid w:val="0075317A"/>
    <w:rsid w:val="007536DC"/>
    <w:rsid w:val="007537C5"/>
    <w:rsid w:val="00753A22"/>
    <w:rsid w:val="00753AE9"/>
    <w:rsid w:val="00753AFB"/>
    <w:rsid w:val="00753B6E"/>
    <w:rsid w:val="00753D7D"/>
    <w:rsid w:val="00753F16"/>
    <w:rsid w:val="00753F94"/>
    <w:rsid w:val="00754227"/>
    <w:rsid w:val="007542E5"/>
    <w:rsid w:val="00754311"/>
    <w:rsid w:val="0075452B"/>
    <w:rsid w:val="007547B9"/>
    <w:rsid w:val="00754997"/>
    <w:rsid w:val="00754D2C"/>
    <w:rsid w:val="00754D6F"/>
    <w:rsid w:val="00754E05"/>
    <w:rsid w:val="00754E0F"/>
    <w:rsid w:val="00754F2C"/>
    <w:rsid w:val="00755048"/>
    <w:rsid w:val="00755218"/>
    <w:rsid w:val="007552C4"/>
    <w:rsid w:val="007553BA"/>
    <w:rsid w:val="007554A9"/>
    <w:rsid w:val="00755532"/>
    <w:rsid w:val="00755859"/>
    <w:rsid w:val="007559F2"/>
    <w:rsid w:val="00756200"/>
    <w:rsid w:val="007562D4"/>
    <w:rsid w:val="0075639C"/>
    <w:rsid w:val="00756483"/>
    <w:rsid w:val="00756DFD"/>
    <w:rsid w:val="00756EF1"/>
    <w:rsid w:val="00757038"/>
    <w:rsid w:val="00757132"/>
    <w:rsid w:val="00757482"/>
    <w:rsid w:val="00757554"/>
    <w:rsid w:val="0075756C"/>
    <w:rsid w:val="007579D5"/>
    <w:rsid w:val="007579E8"/>
    <w:rsid w:val="00757DA1"/>
    <w:rsid w:val="00757F53"/>
    <w:rsid w:val="00757FE2"/>
    <w:rsid w:val="007600BB"/>
    <w:rsid w:val="0076017E"/>
    <w:rsid w:val="00760230"/>
    <w:rsid w:val="0076036B"/>
    <w:rsid w:val="00760547"/>
    <w:rsid w:val="00760D22"/>
    <w:rsid w:val="00760E24"/>
    <w:rsid w:val="00760E97"/>
    <w:rsid w:val="00760FDA"/>
    <w:rsid w:val="00761046"/>
    <w:rsid w:val="00761112"/>
    <w:rsid w:val="0076116D"/>
    <w:rsid w:val="007613AB"/>
    <w:rsid w:val="0076172B"/>
    <w:rsid w:val="00761745"/>
    <w:rsid w:val="00761A7F"/>
    <w:rsid w:val="00761C0A"/>
    <w:rsid w:val="00761C88"/>
    <w:rsid w:val="00761CFA"/>
    <w:rsid w:val="00761D2D"/>
    <w:rsid w:val="00762597"/>
    <w:rsid w:val="00762753"/>
    <w:rsid w:val="00762AE7"/>
    <w:rsid w:val="00763364"/>
    <w:rsid w:val="007633B6"/>
    <w:rsid w:val="0076364E"/>
    <w:rsid w:val="00763BE2"/>
    <w:rsid w:val="00763C8E"/>
    <w:rsid w:val="00763E12"/>
    <w:rsid w:val="00763E6B"/>
    <w:rsid w:val="00764125"/>
    <w:rsid w:val="007641EE"/>
    <w:rsid w:val="00764418"/>
    <w:rsid w:val="00764619"/>
    <w:rsid w:val="00764CE9"/>
    <w:rsid w:val="00765798"/>
    <w:rsid w:val="00765D94"/>
    <w:rsid w:val="00765E8A"/>
    <w:rsid w:val="00766052"/>
    <w:rsid w:val="00766288"/>
    <w:rsid w:val="00766551"/>
    <w:rsid w:val="00766ACB"/>
    <w:rsid w:val="00766CA0"/>
    <w:rsid w:val="00766FC9"/>
    <w:rsid w:val="00767134"/>
    <w:rsid w:val="00767227"/>
    <w:rsid w:val="00767F20"/>
    <w:rsid w:val="00767FE2"/>
    <w:rsid w:val="00770034"/>
    <w:rsid w:val="007701A7"/>
    <w:rsid w:val="00770337"/>
    <w:rsid w:val="00770460"/>
    <w:rsid w:val="00770825"/>
    <w:rsid w:val="00770C4D"/>
    <w:rsid w:val="00771520"/>
    <w:rsid w:val="007715D4"/>
    <w:rsid w:val="00771850"/>
    <w:rsid w:val="00771881"/>
    <w:rsid w:val="00771D24"/>
    <w:rsid w:val="007721DB"/>
    <w:rsid w:val="00772394"/>
    <w:rsid w:val="0077244D"/>
    <w:rsid w:val="007725B8"/>
    <w:rsid w:val="00772776"/>
    <w:rsid w:val="00772A94"/>
    <w:rsid w:val="00772AEC"/>
    <w:rsid w:val="00772EA1"/>
    <w:rsid w:val="00773414"/>
    <w:rsid w:val="00773778"/>
    <w:rsid w:val="00773A1E"/>
    <w:rsid w:val="00773F17"/>
    <w:rsid w:val="0077488B"/>
    <w:rsid w:val="007749B6"/>
    <w:rsid w:val="00774E37"/>
    <w:rsid w:val="00774F9A"/>
    <w:rsid w:val="00775559"/>
    <w:rsid w:val="0077569E"/>
    <w:rsid w:val="007758AA"/>
    <w:rsid w:val="00775A17"/>
    <w:rsid w:val="00775A61"/>
    <w:rsid w:val="00775AA0"/>
    <w:rsid w:val="00775C23"/>
    <w:rsid w:val="00775D64"/>
    <w:rsid w:val="007760A5"/>
    <w:rsid w:val="007760E7"/>
    <w:rsid w:val="007763F4"/>
    <w:rsid w:val="00776469"/>
    <w:rsid w:val="00776BD0"/>
    <w:rsid w:val="00776D92"/>
    <w:rsid w:val="00777232"/>
    <w:rsid w:val="007773D6"/>
    <w:rsid w:val="007774DF"/>
    <w:rsid w:val="007779DE"/>
    <w:rsid w:val="00777C03"/>
    <w:rsid w:val="00777C62"/>
    <w:rsid w:val="00777C9F"/>
    <w:rsid w:val="00780003"/>
    <w:rsid w:val="007800FB"/>
    <w:rsid w:val="00780682"/>
    <w:rsid w:val="007806CB"/>
    <w:rsid w:val="00780701"/>
    <w:rsid w:val="00780967"/>
    <w:rsid w:val="00780D44"/>
    <w:rsid w:val="00780DA9"/>
    <w:rsid w:val="00780EFB"/>
    <w:rsid w:val="0078120F"/>
    <w:rsid w:val="0078134E"/>
    <w:rsid w:val="007815BC"/>
    <w:rsid w:val="00781682"/>
    <w:rsid w:val="00781942"/>
    <w:rsid w:val="00781AB9"/>
    <w:rsid w:val="00781B89"/>
    <w:rsid w:val="00781C77"/>
    <w:rsid w:val="00781E93"/>
    <w:rsid w:val="00781E9D"/>
    <w:rsid w:val="00781FC0"/>
    <w:rsid w:val="0078208A"/>
    <w:rsid w:val="00782780"/>
    <w:rsid w:val="007829EE"/>
    <w:rsid w:val="00782B88"/>
    <w:rsid w:val="0078305E"/>
    <w:rsid w:val="0078314A"/>
    <w:rsid w:val="00783158"/>
    <w:rsid w:val="00783419"/>
    <w:rsid w:val="00783442"/>
    <w:rsid w:val="00783519"/>
    <w:rsid w:val="0078386C"/>
    <w:rsid w:val="00783995"/>
    <w:rsid w:val="00783EE4"/>
    <w:rsid w:val="00784138"/>
    <w:rsid w:val="007846E9"/>
    <w:rsid w:val="0078477A"/>
    <w:rsid w:val="00784C61"/>
    <w:rsid w:val="00784E3E"/>
    <w:rsid w:val="00785072"/>
    <w:rsid w:val="00785326"/>
    <w:rsid w:val="00785555"/>
    <w:rsid w:val="00785577"/>
    <w:rsid w:val="00785720"/>
    <w:rsid w:val="00785BCD"/>
    <w:rsid w:val="00786157"/>
    <w:rsid w:val="00786212"/>
    <w:rsid w:val="007866AC"/>
    <w:rsid w:val="0078688B"/>
    <w:rsid w:val="007869C3"/>
    <w:rsid w:val="00786B3A"/>
    <w:rsid w:val="00786C7D"/>
    <w:rsid w:val="007873E2"/>
    <w:rsid w:val="0078781B"/>
    <w:rsid w:val="00787B0E"/>
    <w:rsid w:val="00787BB1"/>
    <w:rsid w:val="00787BD1"/>
    <w:rsid w:val="00787C82"/>
    <w:rsid w:val="00787D8A"/>
    <w:rsid w:val="00787E11"/>
    <w:rsid w:val="00787FEF"/>
    <w:rsid w:val="0079015B"/>
    <w:rsid w:val="007901D1"/>
    <w:rsid w:val="007905AD"/>
    <w:rsid w:val="0079061B"/>
    <w:rsid w:val="007908CA"/>
    <w:rsid w:val="00790973"/>
    <w:rsid w:val="00790DAB"/>
    <w:rsid w:val="00790E3E"/>
    <w:rsid w:val="00791072"/>
    <w:rsid w:val="007911AB"/>
    <w:rsid w:val="007913C9"/>
    <w:rsid w:val="00791422"/>
    <w:rsid w:val="00791520"/>
    <w:rsid w:val="007917B4"/>
    <w:rsid w:val="007917C8"/>
    <w:rsid w:val="007918B2"/>
    <w:rsid w:val="00791BB0"/>
    <w:rsid w:val="00791C09"/>
    <w:rsid w:val="00791CDD"/>
    <w:rsid w:val="00791EE6"/>
    <w:rsid w:val="00791F88"/>
    <w:rsid w:val="007922D0"/>
    <w:rsid w:val="00792585"/>
    <w:rsid w:val="007926BF"/>
    <w:rsid w:val="00792BA7"/>
    <w:rsid w:val="00792C0A"/>
    <w:rsid w:val="007932EC"/>
    <w:rsid w:val="0079342B"/>
    <w:rsid w:val="00793433"/>
    <w:rsid w:val="007935A1"/>
    <w:rsid w:val="00793736"/>
    <w:rsid w:val="00793B12"/>
    <w:rsid w:val="00793BD3"/>
    <w:rsid w:val="00793C89"/>
    <w:rsid w:val="007943BC"/>
    <w:rsid w:val="007945A7"/>
    <w:rsid w:val="00794610"/>
    <w:rsid w:val="00794652"/>
    <w:rsid w:val="00794BE0"/>
    <w:rsid w:val="00794D55"/>
    <w:rsid w:val="00795041"/>
    <w:rsid w:val="007954D7"/>
    <w:rsid w:val="007954E6"/>
    <w:rsid w:val="007955B6"/>
    <w:rsid w:val="007957F8"/>
    <w:rsid w:val="00795BA3"/>
    <w:rsid w:val="00795BD0"/>
    <w:rsid w:val="00795D95"/>
    <w:rsid w:val="007969A8"/>
    <w:rsid w:val="00796D0E"/>
    <w:rsid w:val="00796E6F"/>
    <w:rsid w:val="00797212"/>
    <w:rsid w:val="00797344"/>
    <w:rsid w:val="0079755B"/>
    <w:rsid w:val="007975F3"/>
    <w:rsid w:val="00797658"/>
    <w:rsid w:val="007978D5"/>
    <w:rsid w:val="00797DA7"/>
    <w:rsid w:val="00797EA2"/>
    <w:rsid w:val="00797F75"/>
    <w:rsid w:val="007A0066"/>
    <w:rsid w:val="007A0083"/>
    <w:rsid w:val="007A01C2"/>
    <w:rsid w:val="007A020D"/>
    <w:rsid w:val="007A0254"/>
    <w:rsid w:val="007A04A6"/>
    <w:rsid w:val="007A0657"/>
    <w:rsid w:val="007A0769"/>
    <w:rsid w:val="007A090A"/>
    <w:rsid w:val="007A12C6"/>
    <w:rsid w:val="007A1663"/>
    <w:rsid w:val="007A16C5"/>
    <w:rsid w:val="007A1823"/>
    <w:rsid w:val="007A19F7"/>
    <w:rsid w:val="007A1B3B"/>
    <w:rsid w:val="007A2425"/>
    <w:rsid w:val="007A253F"/>
    <w:rsid w:val="007A2592"/>
    <w:rsid w:val="007A25D3"/>
    <w:rsid w:val="007A305D"/>
    <w:rsid w:val="007A3450"/>
    <w:rsid w:val="007A35E1"/>
    <w:rsid w:val="007A3960"/>
    <w:rsid w:val="007A3A19"/>
    <w:rsid w:val="007A3DE6"/>
    <w:rsid w:val="007A4434"/>
    <w:rsid w:val="007A4784"/>
    <w:rsid w:val="007A4867"/>
    <w:rsid w:val="007A49E3"/>
    <w:rsid w:val="007A4BBE"/>
    <w:rsid w:val="007A4CF7"/>
    <w:rsid w:val="007A5290"/>
    <w:rsid w:val="007A544E"/>
    <w:rsid w:val="007A547D"/>
    <w:rsid w:val="007A5533"/>
    <w:rsid w:val="007A55A9"/>
    <w:rsid w:val="007A5D10"/>
    <w:rsid w:val="007A6008"/>
    <w:rsid w:val="007A62B3"/>
    <w:rsid w:val="007A636E"/>
    <w:rsid w:val="007A6873"/>
    <w:rsid w:val="007A6979"/>
    <w:rsid w:val="007A6B9C"/>
    <w:rsid w:val="007A713E"/>
    <w:rsid w:val="007A7326"/>
    <w:rsid w:val="007A74EA"/>
    <w:rsid w:val="007A7940"/>
    <w:rsid w:val="007A7D51"/>
    <w:rsid w:val="007A7EF5"/>
    <w:rsid w:val="007B02C3"/>
    <w:rsid w:val="007B0769"/>
    <w:rsid w:val="007B08E7"/>
    <w:rsid w:val="007B093D"/>
    <w:rsid w:val="007B0A0A"/>
    <w:rsid w:val="007B1101"/>
    <w:rsid w:val="007B17E0"/>
    <w:rsid w:val="007B17F4"/>
    <w:rsid w:val="007B1B60"/>
    <w:rsid w:val="007B1D8D"/>
    <w:rsid w:val="007B26F3"/>
    <w:rsid w:val="007B2872"/>
    <w:rsid w:val="007B2CF1"/>
    <w:rsid w:val="007B2DFE"/>
    <w:rsid w:val="007B2FCA"/>
    <w:rsid w:val="007B34B3"/>
    <w:rsid w:val="007B35AF"/>
    <w:rsid w:val="007B3B45"/>
    <w:rsid w:val="007B3C9A"/>
    <w:rsid w:val="007B3CBB"/>
    <w:rsid w:val="007B3F69"/>
    <w:rsid w:val="007B4080"/>
    <w:rsid w:val="007B4384"/>
    <w:rsid w:val="007B4469"/>
    <w:rsid w:val="007B4489"/>
    <w:rsid w:val="007B4519"/>
    <w:rsid w:val="007B4842"/>
    <w:rsid w:val="007B4A63"/>
    <w:rsid w:val="007B4ABD"/>
    <w:rsid w:val="007B4E4B"/>
    <w:rsid w:val="007B4FD9"/>
    <w:rsid w:val="007B5023"/>
    <w:rsid w:val="007B50E1"/>
    <w:rsid w:val="007B559B"/>
    <w:rsid w:val="007B5731"/>
    <w:rsid w:val="007B5735"/>
    <w:rsid w:val="007B5B77"/>
    <w:rsid w:val="007B5DBC"/>
    <w:rsid w:val="007B601E"/>
    <w:rsid w:val="007B6221"/>
    <w:rsid w:val="007B628D"/>
    <w:rsid w:val="007B62A1"/>
    <w:rsid w:val="007B62AD"/>
    <w:rsid w:val="007B6678"/>
    <w:rsid w:val="007B6928"/>
    <w:rsid w:val="007B6A36"/>
    <w:rsid w:val="007B6BFC"/>
    <w:rsid w:val="007B6CE5"/>
    <w:rsid w:val="007B6F00"/>
    <w:rsid w:val="007B6FB6"/>
    <w:rsid w:val="007B711F"/>
    <w:rsid w:val="007B71A9"/>
    <w:rsid w:val="007B75CE"/>
    <w:rsid w:val="007B7C72"/>
    <w:rsid w:val="007B7D9D"/>
    <w:rsid w:val="007C02D4"/>
    <w:rsid w:val="007C07D6"/>
    <w:rsid w:val="007C0BE1"/>
    <w:rsid w:val="007C0CD0"/>
    <w:rsid w:val="007C0DA2"/>
    <w:rsid w:val="007C1543"/>
    <w:rsid w:val="007C1943"/>
    <w:rsid w:val="007C1C17"/>
    <w:rsid w:val="007C1D44"/>
    <w:rsid w:val="007C2168"/>
    <w:rsid w:val="007C2379"/>
    <w:rsid w:val="007C2386"/>
    <w:rsid w:val="007C2447"/>
    <w:rsid w:val="007C2BE6"/>
    <w:rsid w:val="007C2C42"/>
    <w:rsid w:val="007C2C7C"/>
    <w:rsid w:val="007C2D99"/>
    <w:rsid w:val="007C2F8B"/>
    <w:rsid w:val="007C3335"/>
    <w:rsid w:val="007C344F"/>
    <w:rsid w:val="007C3695"/>
    <w:rsid w:val="007C36B8"/>
    <w:rsid w:val="007C3746"/>
    <w:rsid w:val="007C3779"/>
    <w:rsid w:val="007C38DE"/>
    <w:rsid w:val="007C3A4B"/>
    <w:rsid w:val="007C3AC6"/>
    <w:rsid w:val="007C3C4A"/>
    <w:rsid w:val="007C3CC2"/>
    <w:rsid w:val="007C4286"/>
    <w:rsid w:val="007C4A6C"/>
    <w:rsid w:val="007C4D0D"/>
    <w:rsid w:val="007C4D80"/>
    <w:rsid w:val="007C50F1"/>
    <w:rsid w:val="007C55DC"/>
    <w:rsid w:val="007C56DE"/>
    <w:rsid w:val="007C586B"/>
    <w:rsid w:val="007C5DF0"/>
    <w:rsid w:val="007C5F1F"/>
    <w:rsid w:val="007C6450"/>
    <w:rsid w:val="007C6693"/>
    <w:rsid w:val="007C680A"/>
    <w:rsid w:val="007C68D6"/>
    <w:rsid w:val="007C69D9"/>
    <w:rsid w:val="007C6CA6"/>
    <w:rsid w:val="007C6E35"/>
    <w:rsid w:val="007C6EBC"/>
    <w:rsid w:val="007C7021"/>
    <w:rsid w:val="007C7056"/>
    <w:rsid w:val="007C7177"/>
    <w:rsid w:val="007C71B3"/>
    <w:rsid w:val="007C73D8"/>
    <w:rsid w:val="007C7547"/>
    <w:rsid w:val="007C7768"/>
    <w:rsid w:val="007C78D3"/>
    <w:rsid w:val="007C7BED"/>
    <w:rsid w:val="007C7C0B"/>
    <w:rsid w:val="007D0B76"/>
    <w:rsid w:val="007D0F72"/>
    <w:rsid w:val="007D1276"/>
    <w:rsid w:val="007D12C7"/>
    <w:rsid w:val="007D1668"/>
    <w:rsid w:val="007D1713"/>
    <w:rsid w:val="007D18C3"/>
    <w:rsid w:val="007D1CBE"/>
    <w:rsid w:val="007D27E8"/>
    <w:rsid w:val="007D2935"/>
    <w:rsid w:val="007D2D71"/>
    <w:rsid w:val="007D2ECE"/>
    <w:rsid w:val="007D3046"/>
    <w:rsid w:val="007D3465"/>
    <w:rsid w:val="007D37B2"/>
    <w:rsid w:val="007D3A3F"/>
    <w:rsid w:val="007D3F12"/>
    <w:rsid w:val="007D3F43"/>
    <w:rsid w:val="007D4007"/>
    <w:rsid w:val="007D412C"/>
    <w:rsid w:val="007D42DD"/>
    <w:rsid w:val="007D45D8"/>
    <w:rsid w:val="007D49F6"/>
    <w:rsid w:val="007D4CD9"/>
    <w:rsid w:val="007D4DAF"/>
    <w:rsid w:val="007D4E45"/>
    <w:rsid w:val="007D4ED0"/>
    <w:rsid w:val="007D5064"/>
    <w:rsid w:val="007D50C3"/>
    <w:rsid w:val="007D5165"/>
    <w:rsid w:val="007D531F"/>
    <w:rsid w:val="007D578D"/>
    <w:rsid w:val="007D5802"/>
    <w:rsid w:val="007D58F6"/>
    <w:rsid w:val="007D5F54"/>
    <w:rsid w:val="007D644F"/>
    <w:rsid w:val="007D66CB"/>
    <w:rsid w:val="007D66CD"/>
    <w:rsid w:val="007D677E"/>
    <w:rsid w:val="007D681C"/>
    <w:rsid w:val="007D68DF"/>
    <w:rsid w:val="007D7017"/>
    <w:rsid w:val="007D7355"/>
    <w:rsid w:val="007D7467"/>
    <w:rsid w:val="007D74BE"/>
    <w:rsid w:val="007D75A4"/>
    <w:rsid w:val="007D778E"/>
    <w:rsid w:val="007D7C8E"/>
    <w:rsid w:val="007E04B1"/>
    <w:rsid w:val="007E04C1"/>
    <w:rsid w:val="007E059F"/>
    <w:rsid w:val="007E0630"/>
    <w:rsid w:val="007E0A19"/>
    <w:rsid w:val="007E0A61"/>
    <w:rsid w:val="007E0EF4"/>
    <w:rsid w:val="007E1319"/>
    <w:rsid w:val="007E16C5"/>
    <w:rsid w:val="007E199A"/>
    <w:rsid w:val="007E1AB7"/>
    <w:rsid w:val="007E1DCA"/>
    <w:rsid w:val="007E1DCE"/>
    <w:rsid w:val="007E2070"/>
    <w:rsid w:val="007E2072"/>
    <w:rsid w:val="007E2257"/>
    <w:rsid w:val="007E238D"/>
    <w:rsid w:val="007E23DA"/>
    <w:rsid w:val="007E29B3"/>
    <w:rsid w:val="007E2B51"/>
    <w:rsid w:val="007E2CE2"/>
    <w:rsid w:val="007E2EF8"/>
    <w:rsid w:val="007E39EC"/>
    <w:rsid w:val="007E3A04"/>
    <w:rsid w:val="007E3A8F"/>
    <w:rsid w:val="007E410F"/>
    <w:rsid w:val="007E44D3"/>
    <w:rsid w:val="007E452D"/>
    <w:rsid w:val="007E476C"/>
    <w:rsid w:val="007E49F9"/>
    <w:rsid w:val="007E49FE"/>
    <w:rsid w:val="007E4EA6"/>
    <w:rsid w:val="007E5188"/>
    <w:rsid w:val="007E52BA"/>
    <w:rsid w:val="007E54BD"/>
    <w:rsid w:val="007E55C8"/>
    <w:rsid w:val="007E5C82"/>
    <w:rsid w:val="007E5D66"/>
    <w:rsid w:val="007E5E4F"/>
    <w:rsid w:val="007E600B"/>
    <w:rsid w:val="007E6071"/>
    <w:rsid w:val="007E6247"/>
    <w:rsid w:val="007E6560"/>
    <w:rsid w:val="007E67D0"/>
    <w:rsid w:val="007E6898"/>
    <w:rsid w:val="007E6C64"/>
    <w:rsid w:val="007E72B9"/>
    <w:rsid w:val="007E7385"/>
    <w:rsid w:val="007E759A"/>
    <w:rsid w:val="007E7789"/>
    <w:rsid w:val="007E792A"/>
    <w:rsid w:val="007E7C30"/>
    <w:rsid w:val="007E7E27"/>
    <w:rsid w:val="007F00D2"/>
    <w:rsid w:val="007F00F3"/>
    <w:rsid w:val="007F0461"/>
    <w:rsid w:val="007F0DE5"/>
    <w:rsid w:val="007F0E1D"/>
    <w:rsid w:val="007F0E72"/>
    <w:rsid w:val="007F1103"/>
    <w:rsid w:val="007F1198"/>
    <w:rsid w:val="007F1459"/>
    <w:rsid w:val="007F1AC1"/>
    <w:rsid w:val="007F1C9F"/>
    <w:rsid w:val="007F1CD5"/>
    <w:rsid w:val="007F1D24"/>
    <w:rsid w:val="007F1FB4"/>
    <w:rsid w:val="007F217B"/>
    <w:rsid w:val="007F221F"/>
    <w:rsid w:val="007F238D"/>
    <w:rsid w:val="007F23ED"/>
    <w:rsid w:val="007F242B"/>
    <w:rsid w:val="007F24E7"/>
    <w:rsid w:val="007F2679"/>
    <w:rsid w:val="007F2992"/>
    <w:rsid w:val="007F2B1C"/>
    <w:rsid w:val="007F2E97"/>
    <w:rsid w:val="007F2F86"/>
    <w:rsid w:val="007F30CB"/>
    <w:rsid w:val="007F32E9"/>
    <w:rsid w:val="007F3838"/>
    <w:rsid w:val="007F3BBB"/>
    <w:rsid w:val="007F3F28"/>
    <w:rsid w:val="007F406F"/>
    <w:rsid w:val="007F47EF"/>
    <w:rsid w:val="007F4934"/>
    <w:rsid w:val="007F4D5B"/>
    <w:rsid w:val="007F4F72"/>
    <w:rsid w:val="007F5264"/>
    <w:rsid w:val="007F539C"/>
    <w:rsid w:val="007F546E"/>
    <w:rsid w:val="007F59C5"/>
    <w:rsid w:val="007F5A10"/>
    <w:rsid w:val="007F5F05"/>
    <w:rsid w:val="007F5F0F"/>
    <w:rsid w:val="007F6653"/>
    <w:rsid w:val="007F689C"/>
    <w:rsid w:val="007F6935"/>
    <w:rsid w:val="007F74D3"/>
    <w:rsid w:val="007F7699"/>
    <w:rsid w:val="007F773E"/>
    <w:rsid w:val="007F7C51"/>
    <w:rsid w:val="007F7CBE"/>
    <w:rsid w:val="007F7CC1"/>
    <w:rsid w:val="008002BA"/>
    <w:rsid w:val="008007D1"/>
    <w:rsid w:val="00800B75"/>
    <w:rsid w:val="00800E35"/>
    <w:rsid w:val="008015F1"/>
    <w:rsid w:val="00801715"/>
    <w:rsid w:val="00801A0B"/>
    <w:rsid w:val="00801D98"/>
    <w:rsid w:val="00801F51"/>
    <w:rsid w:val="008023B6"/>
    <w:rsid w:val="0080251B"/>
    <w:rsid w:val="00802671"/>
    <w:rsid w:val="00802B08"/>
    <w:rsid w:val="00802B71"/>
    <w:rsid w:val="00802F0F"/>
    <w:rsid w:val="00803258"/>
    <w:rsid w:val="00803455"/>
    <w:rsid w:val="008034EF"/>
    <w:rsid w:val="00803702"/>
    <w:rsid w:val="00803747"/>
    <w:rsid w:val="0080375E"/>
    <w:rsid w:val="008038D1"/>
    <w:rsid w:val="0080390C"/>
    <w:rsid w:val="00803D93"/>
    <w:rsid w:val="0080402E"/>
    <w:rsid w:val="00804055"/>
    <w:rsid w:val="008044A5"/>
    <w:rsid w:val="008047D6"/>
    <w:rsid w:val="00804C03"/>
    <w:rsid w:val="00804D0E"/>
    <w:rsid w:val="0080530F"/>
    <w:rsid w:val="008053C4"/>
    <w:rsid w:val="0080558A"/>
    <w:rsid w:val="0080568C"/>
    <w:rsid w:val="00805F53"/>
    <w:rsid w:val="00806046"/>
    <w:rsid w:val="00806170"/>
    <w:rsid w:val="00806737"/>
    <w:rsid w:val="0080681C"/>
    <w:rsid w:val="008068B3"/>
    <w:rsid w:val="00806911"/>
    <w:rsid w:val="00806B92"/>
    <w:rsid w:val="00806C15"/>
    <w:rsid w:val="00806EC1"/>
    <w:rsid w:val="008070B9"/>
    <w:rsid w:val="00807241"/>
    <w:rsid w:val="008072FB"/>
    <w:rsid w:val="00807621"/>
    <w:rsid w:val="00807A83"/>
    <w:rsid w:val="00807AE5"/>
    <w:rsid w:val="00807E0F"/>
    <w:rsid w:val="00807ED2"/>
    <w:rsid w:val="00810018"/>
    <w:rsid w:val="0081049F"/>
    <w:rsid w:val="0081085F"/>
    <w:rsid w:val="00810997"/>
    <w:rsid w:val="00810B38"/>
    <w:rsid w:val="00811180"/>
    <w:rsid w:val="008111F4"/>
    <w:rsid w:val="00811402"/>
    <w:rsid w:val="00811657"/>
    <w:rsid w:val="0081174F"/>
    <w:rsid w:val="0081187C"/>
    <w:rsid w:val="00811899"/>
    <w:rsid w:val="00811DB3"/>
    <w:rsid w:val="00811EE4"/>
    <w:rsid w:val="008125FE"/>
    <w:rsid w:val="00812827"/>
    <w:rsid w:val="00812988"/>
    <w:rsid w:val="00812E09"/>
    <w:rsid w:val="00813074"/>
    <w:rsid w:val="0081333F"/>
    <w:rsid w:val="00813527"/>
    <w:rsid w:val="00813555"/>
    <w:rsid w:val="008136B2"/>
    <w:rsid w:val="00813726"/>
    <w:rsid w:val="0081390D"/>
    <w:rsid w:val="00813AA2"/>
    <w:rsid w:val="00813BEE"/>
    <w:rsid w:val="00813DDC"/>
    <w:rsid w:val="00813E96"/>
    <w:rsid w:val="00813EDA"/>
    <w:rsid w:val="0081409A"/>
    <w:rsid w:val="008141A4"/>
    <w:rsid w:val="00814232"/>
    <w:rsid w:val="0081447F"/>
    <w:rsid w:val="008144CD"/>
    <w:rsid w:val="0081459D"/>
    <w:rsid w:val="00814751"/>
    <w:rsid w:val="00814898"/>
    <w:rsid w:val="008149B7"/>
    <w:rsid w:val="00814D9A"/>
    <w:rsid w:val="0081529B"/>
    <w:rsid w:val="008152B3"/>
    <w:rsid w:val="00815379"/>
    <w:rsid w:val="008153A6"/>
    <w:rsid w:val="00815802"/>
    <w:rsid w:val="00815A39"/>
    <w:rsid w:val="00815D29"/>
    <w:rsid w:val="00815FB0"/>
    <w:rsid w:val="0081604A"/>
    <w:rsid w:val="0081642B"/>
    <w:rsid w:val="0081688A"/>
    <w:rsid w:val="00816ABC"/>
    <w:rsid w:val="00816F45"/>
    <w:rsid w:val="00817192"/>
    <w:rsid w:val="008171A9"/>
    <w:rsid w:val="008172C5"/>
    <w:rsid w:val="0081782D"/>
    <w:rsid w:val="00817C2D"/>
    <w:rsid w:val="00817D2C"/>
    <w:rsid w:val="00817D6E"/>
    <w:rsid w:val="00817D75"/>
    <w:rsid w:val="00817EF0"/>
    <w:rsid w:val="0082001E"/>
    <w:rsid w:val="0082010E"/>
    <w:rsid w:val="00820134"/>
    <w:rsid w:val="008203EC"/>
    <w:rsid w:val="00820563"/>
    <w:rsid w:val="0082098D"/>
    <w:rsid w:val="00820A42"/>
    <w:rsid w:val="00820E63"/>
    <w:rsid w:val="00820EC8"/>
    <w:rsid w:val="00820F3F"/>
    <w:rsid w:val="00820FE1"/>
    <w:rsid w:val="00821089"/>
    <w:rsid w:val="0082124F"/>
    <w:rsid w:val="0082131C"/>
    <w:rsid w:val="008215FF"/>
    <w:rsid w:val="00821C2E"/>
    <w:rsid w:val="00821DFB"/>
    <w:rsid w:val="00822108"/>
    <w:rsid w:val="0082213B"/>
    <w:rsid w:val="0082228B"/>
    <w:rsid w:val="008222F0"/>
    <w:rsid w:val="00822851"/>
    <w:rsid w:val="00822B34"/>
    <w:rsid w:val="00822D86"/>
    <w:rsid w:val="00822E2B"/>
    <w:rsid w:val="008231B3"/>
    <w:rsid w:val="008234A1"/>
    <w:rsid w:val="008237AB"/>
    <w:rsid w:val="00823D17"/>
    <w:rsid w:val="008244FF"/>
    <w:rsid w:val="00824803"/>
    <w:rsid w:val="008248E6"/>
    <w:rsid w:val="00824938"/>
    <w:rsid w:val="00824B74"/>
    <w:rsid w:val="00824BF1"/>
    <w:rsid w:val="00824C54"/>
    <w:rsid w:val="00824D70"/>
    <w:rsid w:val="00824E36"/>
    <w:rsid w:val="00824E6F"/>
    <w:rsid w:val="00824E96"/>
    <w:rsid w:val="00824ED2"/>
    <w:rsid w:val="0082512D"/>
    <w:rsid w:val="0082524E"/>
    <w:rsid w:val="008255DB"/>
    <w:rsid w:val="00825890"/>
    <w:rsid w:val="00825C2E"/>
    <w:rsid w:val="008262DA"/>
    <w:rsid w:val="00826378"/>
    <w:rsid w:val="008263C2"/>
    <w:rsid w:val="008266C7"/>
    <w:rsid w:val="008266E6"/>
    <w:rsid w:val="00826822"/>
    <w:rsid w:val="00826956"/>
    <w:rsid w:val="00826D65"/>
    <w:rsid w:val="00827225"/>
    <w:rsid w:val="0082742C"/>
    <w:rsid w:val="00827472"/>
    <w:rsid w:val="008274B3"/>
    <w:rsid w:val="0082760B"/>
    <w:rsid w:val="00827680"/>
    <w:rsid w:val="008276B2"/>
    <w:rsid w:val="008278F9"/>
    <w:rsid w:val="008279C7"/>
    <w:rsid w:val="008279CF"/>
    <w:rsid w:val="00827B47"/>
    <w:rsid w:val="00827ED7"/>
    <w:rsid w:val="0083020A"/>
    <w:rsid w:val="008305A4"/>
    <w:rsid w:val="00830747"/>
    <w:rsid w:val="008307E3"/>
    <w:rsid w:val="00830D0F"/>
    <w:rsid w:val="00830D62"/>
    <w:rsid w:val="00830E7E"/>
    <w:rsid w:val="00830F51"/>
    <w:rsid w:val="00830F60"/>
    <w:rsid w:val="00831021"/>
    <w:rsid w:val="0083113A"/>
    <w:rsid w:val="0083139B"/>
    <w:rsid w:val="008313F7"/>
    <w:rsid w:val="00831643"/>
    <w:rsid w:val="00831D6A"/>
    <w:rsid w:val="0083210A"/>
    <w:rsid w:val="00832528"/>
    <w:rsid w:val="00832621"/>
    <w:rsid w:val="008329AF"/>
    <w:rsid w:val="00832DA0"/>
    <w:rsid w:val="00833369"/>
    <w:rsid w:val="008334A0"/>
    <w:rsid w:val="00833540"/>
    <w:rsid w:val="00833607"/>
    <w:rsid w:val="00833625"/>
    <w:rsid w:val="00833772"/>
    <w:rsid w:val="008337B9"/>
    <w:rsid w:val="008339D0"/>
    <w:rsid w:val="00833C06"/>
    <w:rsid w:val="00833D02"/>
    <w:rsid w:val="00833E1B"/>
    <w:rsid w:val="008347C3"/>
    <w:rsid w:val="00834A86"/>
    <w:rsid w:val="00834CB6"/>
    <w:rsid w:val="00834D23"/>
    <w:rsid w:val="00834FB4"/>
    <w:rsid w:val="00835174"/>
    <w:rsid w:val="00835179"/>
    <w:rsid w:val="008352B7"/>
    <w:rsid w:val="00835409"/>
    <w:rsid w:val="008355B2"/>
    <w:rsid w:val="00835663"/>
    <w:rsid w:val="00835B0B"/>
    <w:rsid w:val="00835FA6"/>
    <w:rsid w:val="0083624A"/>
    <w:rsid w:val="008362CD"/>
    <w:rsid w:val="00836346"/>
    <w:rsid w:val="00836347"/>
    <w:rsid w:val="008363A8"/>
    <w:rsid w:val="00836699"/>
    <w:rsid w:val="00836814"/>
    <w:rsid w:val="00836821"/>
    <w:rsid w:val="00836886"/>
    <w:rsid w:val="00836989"/>
    <w:rsid w:val="00836B4D"/>
    <w:rsid w:val="0084023E"/>
    <w:rsid w:val="008406FA"/>
    <w:rsid w:val="0084074F"/>
    <w:rsid w:val="00840A9B"/>
    <w:rsid w:val="00840D08"/>
    <w:rsid w:val="00840DB7"/>
    <w:rsid w:val="0084102F"/>
    <w:rsid w:val="008410DE"/>
    <w:rsid w:val="00841147"/>
    <w:rsid w:val="00841653"/>
    <w:rsid w:val="008416A9"/>
    <w:rsid w:val="00841741"/>
    <w:rsid w:val="00841C2A"/>
    <w:rsid w:val="0084208B"/>
    <w:rsid w:val="0084232F"/>
    <w:rsid w:val="0084262F"/>
    <w:rsid w:val="00842883"/>
    <w:rsid w:val="00842AD0"/>
    <w:rsid w:val="00842B48"/>
    <w:rsid w:val="00842BC3"/>
    <w:rsid w:val="00842CA6"/>
    <w:rsid w:val="00842CD9"/>
    <w:rsid w:val="00842D40"/>
    <w:rsid w:val="00843398"/>
    <w:rsid w:val="00843477"/>
    <w:rsid w:val="008436B3"/>
    <w:rsid w:val="00843D11"/>
    <w:rsid w:val="00843DE9"/>
    <w:rsid w:val="00843F3B"/>
    <w:rsid w:val="00843F71"/>
    <w:rsid w:val="00843F8E"/>
    <w:rsid w:val="00844228"/>
    <w:rsid w:val="00844265"/>
    <w:rsid w:val="00844571"/>
    <w:rsid w:val="00844795"/>
    <w:rsid w:val="008447C9"/>
    <w:rsid w:val="00844850"/>
    <w:rsid w:val="00844F00"/>
    <w:rsid w:val="00845196"/>
    <w:rsid w:val="0084520F"/>
    <w:rsid w:val="00845503"/>
    <w:rsid w:val="0084558E"/>
    <w:rsid w:val="008455D8"/>
    <w:rsid w:val="00845693"/>
    <w:rsid w:val="008457F2"/>
    <w:rsid w:val="00845A0A"/>
    <w:rsid w:val="00845F02"/>
    <w:rsid w:val="00845F95"/>
    <w:rsid w:val="00846070"/>
    <w:rsid w:val="00846948"/>
    <w:rsid w:val="00846EF2"/>
    <w:rsid w:val="00847288"/>
    <w:rsid w:val="008476CB"/>
    <w:rsid w:val="0084774F"/>
    <w:rsid w:val="00847CC4"/>
    <w:rsid w:val="00847CF6"/>
    <w:rsid w:val="00850036"/>
    <w:rsid w:val="00850169"/>
    <w:rsid w:val="008501AA"/>
    <w:rsid w:val="00850225"/>
    <w:rsid w:val="0085038E"/>
    <w:rsid w:val="00850465"/>
    <w:rsid w:val="00850555"/>
    <w:rsid w:val="00850675"/>
    <w:rsid w:val="00850EC5"/>
    <w:rsid w:val="00851188"/>
    <w:rsid w:val="00851291"/>
    <w:rsid w:val="0085156C"/>
    <w:rsid w:val="008519BD"/>
    <w:rsid w:val="00851C76"/>
    <w:rsid w:val="0085244E"/>
    <w:rsid w:val="00852590"/>
    <w:rsid w:val="008528B5"/>
    <w:rsid w:val="008528CB"/>
    <w:rsid w:val="00852913"/>
    <w:rsid w:val="00852FD2"/>
    <w:rsid w:val="008535C8"/>
    <w:rsid w:val="00853A12"/>
    <w:rsid w:val="00853A22"/>
    <w:rsid w:val="00853B87"/>
    <w:rsid w:val="00854450"/>
    <w:rsid w:val="00854E8B"/>
    <w:rsid w:val="00855085"/>
    <w:rsid w:val="008557F8"/>
    <w:rsid w:val="008558E2"/>
    <w:rsid w:val="008558E6"/>
    <w:rsid w:val="00855C88"/>
    <w:rsid w:val="00855E63"/>
    <w:rsid w:val="008560C6"/>
    <w:rsid w:val="008562A6"/>
    <w:rsid w:val="008562BA"/>
    <w:rsid w:val="00856696"/>
    <w:rsid w:val="00856859"/>
    <w:rsid w:val="00856D40"/>
    <w:rsid w:val="0085731A"/>
    <w:rsid w:val="0085731B"/>
    <w:rsid w:val="0085765B"/>
    <w:rsid w:val="00857776"/>
    <w:rsid w:val="00857791"/>
    <w:rsid w:val="0085790C"/>
    <w:rsid w:val="008600F8"/>
    <w:rsid w:val="00860331"/>
    <w:rsid w:val="008604D3"/>
    <w:rsid w:val="00860F5F"/>
    <w:rsid w:val="00860FFC"/>
    <w:rsid w:val="00861350"/>
    <w:rsid w:val="008613A0"/>
    <w:rsid w:val="0086161B"/>
    <w:rsid w:val="00861760"/>
    <w:rsid w:val="0086194B"/>
    <w:rsid w:val="00861BB3"/>
    <w:rsid w:val="00861C08"/>
    <w:rsid w:val="00861C94"/>
    <w:rsid w:val="00861E08"/>
    <w:rsid w:val="0086222B"/>
    <w:rsid w:val="00862367"/>
    <w:rsid w:val="00862C1A"/>
    <w:rsid w:val="00862D16"/>
    <w:rsid w:val="00863245"/>
    <w:rsid w:val="008632E3"/>
    <w:rsid w:val="008634BC"/>
    <w:rsid w:val="008634EE"/>
    <w:rsid w:val="00863517"/>
    <w:rsid w:val="0086389F"/>
    <w:rsid w:val="00863BB3"/>
    <w:rsid w:val="008640A9"/>
    <w:rsid w:val="0086449D"/>
    <w:rsid w:val="0086466A"/>
    <w:rsid w:val="00864D9E"/>
    <w:rsid w:val="00864E82"/>
    <w:rsid w:val="00864EF3"/>
    <w:rsid w:val="008656E0"/>
    <w:rsid w:val="00865C3B"/>
    <w:rsid w:val="00865D71"/>
    <w:rsid w:val="00865D7C"/>
    <w:rsid w:val="00866B41"/>
    <w:rsid w:val="00866B42"/>
    <w:rsid w:val="00866CF2"/>
    <w:rsid w:val="008670B0"/>
    <w:rsid w:val="0086742E"/>
    <w:rsid w:val="0086777D"/>
    <w:rsid w:val="0086778A"/>
    <w:rsid w:val="00867873"/>
    <w:rsid w:val="00867CC9"/>
    <w:rsid w:val="00867D85"/>
    <w:rsid w:val="00870017"/>
    <w:rsid w:val="008701C7"/>
    <w:rsid w:val="0087020F"/>
    <w:rsid w:val="008707BC"/>
    <w:rsid w:val="00870CDA"/>
    <w:rsid w:val="00871022"/>
    <w:rsid w:val="00871035"/>
    <w:rsid w:val="0087171A"/>
    <w:rsid w:val="00871DC9"/>
    <w:rsid w:val="00871F22"/>
    <w:rsid w:val="0087203E"/>
    <w:rsid w:val="00872378"/>
    <w:rsid w:val="00872B04"/>
    <w:rsid w:val="00872D62"/>
    <w:rsid w:val="00873066"/>
    <w:rsid w:val="00873173"/>
    <w:rsid w:val="0087332F"/>
    <w:rsid w:val="0087346D"/>
    <w:rsid w:val="00873486"/>
    <w:rsid w:val="00873A31"/>
    <w:rsid w:val="00873A86"/>
    <w:rsid w:val="00873AB4"/>
    <w:rsid w:val="00873ABD"/>
    <w:rsid w:val="00873CDE"/>
    <w:rsid w:val="0087453F"/>
    <w:rsid w:val="00874742"/>
    <w:rsid w:val="00874BB4"/>
    <w:rsid w:val="00874BD6"/>
    <w:rsid w:val="00874CBC"/>
    <w:rsid w:val="00874D6C"/>
    <w:rsid w:val="00874FB0"/>
    <w:rsid w:val="008753C3"/>
    <w:rsid w:val="0087570D"/>
    <w:rsid w:val="00875CE6"/>
    <w:rsid w:val="00875F5F"/>
    <w:rsid w:val="008763C2"/>
    <w:rsid w:val="00876606"/>
    <w:rsid w:val="00876709"/>
    <w:rsid w:val="0087683E"/>
    <w:rsid w:val="00876843"/>
    <w:rsid w:val="00876DAD"/>
    <w:rsid w:val="00876DC6"/>
    <w:rsid w:val="00877369"/>
    <w:rsid w:val="008773F0"/>
    <w:rsid w:val="00877446"/>
    <w:rsid w:val="00877962"/>
    <w:rsid w:val="00877B39"/>
    <w:rsid w:val="00877EC3"/>
    <w:rsid w:val="008801B5"/>
    <w:rsid w:val="008803FB"/>
    <w:rsid w:val="0088049F"/>
    <w:rsid w:val="008806B7"/>
    <w:rsid w:val="00880A0D"/>
    <w:rsid w:val="00880DDA"/>
    <w:rsid w:val="00881192"/>
    <w:rsid w:val="0088165E"/>
    <w:rsid w:val="00881CC7"/>
    <w:rsid w:val="00881CEF"/>
    <w:rsid w:val="00881D08"/>
    <w:rsid w:val="00881D46"/>
    <w:rsid w:val="00881F6F"/>
    <w:rsid w:val="00882379"/>
    <w:rsid w:val="00882C5A"/>
    <w:rsid w:val="00882CDC"/>
    <w:rsid w:val="00882EAB"/>
    <w:rsid w:val="00882FCA"/>
    <w:rsid w:val="00883060"/>
    <w:rsid w:val="00883068"/>
    <w:rsid w:val="008833D7"/>
    <w:rsid w:val="0088344A"/>
    <w:rsid w:val="00883575"/>
    <w:rsid w:val="008840F4"/>
    <w:rsid w:val="008841C8"/>
    <w:rsid w:val="00884415"/>
    <w:rsid w:val="00884695"/>
    <w:rsid w:val="008846CD"/>
    <w:rsid w:val="008847B7"/>
    <w:rsid w:val="008847D5"/>
    <w:rsid w:val="00884897"/>
    <w:rsid w:val="008849E5"/>
    <w:rsid w:val="00884A67"/>
    <w:rsid w:val="00884B22"/>
    <w:rsid w:val="00884CB8"/>
    <w:rsid w:val="00884D35"/>
    <w:rsid w:val="008850E4"/>
    <w:rsid w:val="00885244"/>
    <w:rsid w:val="008853A7"/>
    <w:rsid w:val="00885CC7"/>
    <w:rsid w:val="00885D65"/>
    <w:rsid w:val="00886034"/>
    <w:rsid w:val="00886042"/>
    <w:rsid w:val="008861F9"/>
    <w:rsid w:val="00886537"/>
    <w:rsid w:val="008866B0"/>
    <w:rsid w:val="0088695C"/>
    <w:rsid w:val="00886A3D"/>
    <w:rsid w:val="00886B0C"/>
    <w:rsid w:val="00886EDC"/>
    <w:rsid w:val="00887106"/>
    <w:rsid w:val="00887B6B"/>
    <w:rsid w:val="0089021F"/>
    <w:rsid w:val="0089090A"/>
    <w:rsid w:val="00890E9E"/>
    <w:rsid w:val="00890F86"/>
    <w:rsid w:val="00891854"/>
    <w:rsid w:val="008919B0"/>
    <w:rsid w:val="00891BCD"/>
    <w:rsid w:val="00891C8D"/>
    <w:rsid w:val="00891D3F"/>
    <w:rsid w:val="00892066"/>
    <w:rsid w:val="0089212C"/>
    <w:rsid w:val="00892247"/>
    <w:rsid w:val="00892895"/>
    <w:rsid w:val="008928EA"/>
    <w:rsid w:val="00892A07"/>
    <w:rsid w:val="00892A8A"/>
    <w:rsid w:val="00892BFF"/>
    <w:rsid w:val="00892C90"/>
    <w:rsid w:val="00892F57"/>
    <w:rsid w:val="008932DA"/>
    <w:rsid w:val="008934E0"/>
    <w:rsid w:val="008934EC"/>
    <w:rsid w:val="00893579"/>
    <w:rsid w:val="008935EB"/>
    <w:rsid w:val="00893605"/>
    <w:rsid w:val="00893A52"/>
    <w:rsid w:val="00893AF7"/>
    <w:rsid w:val="0089448D"/>
    <w:rsid w:val="0089451D"/>
    <w:rsid w:val="0089465E"/>
    <w:rsid w:val="00894AD0"/>
    <w:rsid w:val="0089513A"/>
    <w:rsid w:val="00895654"/>
    <w:rsid w:val="00895859"/>
    <w:rsid w:val="00895D3B"/>
    <w:rsid w:val="00895FFF"/>
    <w:rsid w:val="00896100"/>
    <w:rsid w:val="00896203"/>
    <w:rsid w:val="008965BA"/>
    <w:rsid w:val="008966D7"/>
    <w:rsid w:val="00896872"/>
    <w:rsid w:val="00896901"/>
    <w:rsid w:val="00896A01"/>
    <w:rsid w:val="00897285"/>
    <w:rsid w:val="0089729F"/>
    <w:rsid w:val="008973E2"/>
    <w:rsid w:val="008975DD"/>
    <w:rsid w:val="008975E7"/>
    <w:rsid w:val="0089769C"/>
    <w:rsid w:val="00897700"/>
    <w:rsid w:val="00897798"/>
    <w:rsid w:val="008978CD"/>
    <w:rsid w:val="00897928"/>
    <w:rsid w:val="008A000E"/>
    <w:rsid w:val="008A00CF"/>
    <w:rsid w:val="008A03FD"/>
    <w:rsid w:val="008A0858"/>
    <w:rsid w:val="008A086E"/>
    <w:rsid w:val="008A08D9"/>
    <w:rsid w:val="008A0CBB"/>
    <w:rsid w:val="008A101A"/>
    <w:rsid w:val="008A1325"/>
    <w:rsid w:val="008A1343"/>
    <w:rsid w:val="008A1366"/>
    <w:rsid w:val="008A13D6"/>
    <w:rsid w:val="008A19B9"/>
    <w:rsid w:val="008A1CBB"/>
    <w:rsid w:val="008A2064"/>
    <w:rsid w:val="008A21E4"/>
    <w:rsid w:val="008A226F"/>
    <w:rsid w:val="008A2B39"/>
    <w:rsid w:val="008A2BF6"/>
    <w:rsid w:val="008A2E3A"/>
    <w:rsid w:val="008A3088"/>
    <w:rsid w:val="008A3173"/>
    <w:rsid w:val="008A330F"/>
    <w:rsid w:val="008A3350"/>
    <w:rsid w:val="008A336C"/>
    <w:rsid w:val="008A37F3"/>
    <w:rsid w:val="008A3A67"/>
    <w:rsid w:val="008A3C2F"/>
    <w:rsid w:val="008A3C6C"/>
    <w:rsid w:val="008A3D93"/>
    <w:rsid w:val="008A4152"/>
    <w:rsid w:val="008A4B62"/>
    <w:rsid w:val="008A4B6D"/>
    <w:rsid w:val="008A4C8D"/>
    <w:rsid w:val="008A527B"/>
    <w:rsid w:val="008A557A"/>
    <w:rsid w:val="008A5973"/>
    <w:rsid w:val="008A5A34"/>
    <w:rsid w:val="008A5C45"/>
    <w:rsid w:val="008A5FE5"/>
    <w:rsid w:val="008A6498"/>
    <w:rsid w:val="008A6634"/>
    <w:rsid w:val="008A669B"/>
    <w:rsid w:val="008A6710"/>
    <w:rsid w:val="008A696E"/>
    <w:rsid w:val="008A6C8C"/>
    <w:rsid w:val="008A74DD"/>
    <w:rsid w:val="008A7545"/>
    <w:rsid w:val="008A7BFD"/>
    <w:rsid w:val="008A7E87"/>
    <w:rsid w:val="008B01CC"/>
    <w:rsid w:val="008B01DA"/>
    <w:rsid w:val="008B041C"/>
    <w:rsid w:val="008B0559"/>
    <w:rsid w:val="008B06A8"/>
    <w:rsid w:val="008B0730"/>
    <w:rsid w:val="008B075D"/>
    <w:rsid w:val="008B0B90"/>
    <w:rsid w:val="008B0C1A"/>
    <w:rsid w:val="008B0CEC"/>
    <w:rsid w:val="008B0F59"/>
    <w:rsid w:val="008B13D4"/>
    <w:rsid w:val="008B1444"/>
    <w:rsid w:val="008B18DA"/>
    <w:rsid w:val="008B1B71"/>
    <w:rsid w:val="008B1F81"/>
    <w:rsid w:val="008B2142"/>
    <w:rsid w:val="008B27C2"/>
    <w:rsid w:val="008B28D9"/>
    <w:rsid w:val="008B28FC"/>
    <w:rsid w:val="008B30DF"/>
    <w:rsid w:val="008B37DF"/>
    <w:rsid w:val="008B38C6"/>
    <w:rsid w:val="008B39E9"/>
    <w:rsid w:val="008B3F84"/>
    <w:rsid w:val="008B4145"/>
    <w:rsid w:val="008B42B7"/>
    <w:rsid w:val="008B43ED"/>
    <w:rsid w:val="008B4524"/>
    <w:rsid w:val="008B4631"/>
    <w:rsid w:val="008B4A1E"/>
    <w:rsid w:val="008B4A51"/>
    <w:rsid w:val="008B4A6B"/>
    <w:rsid w:val="008B4B25"/>
    <w:rsid w:val="008B4B66"/>
    <w:rsid w:val="008B4B98"/>
    <w:rsid w:val="008B4CC8"/>
    <w:rsid w:val="008B4DF2"/>
    <w:rsid w:val="008B4EBD"/>
    <w:rsid w:val="008B5214"/>
    <w:rsid w:val="008B5600"/>
    <w:rsid w:val="008B5AAF"/>
    <w:rsid w:val="008B5C7B"/>
    <w:rsid w:val="008B5D95"/>
    <w:rsid w:val="008B5E7C"/>
    <w:rsid w:val="008B5EA3"/>
    <w:rsid w:val="008B5F3D"/>
    <w:rsid w:val="008B63C4"/>
    <w:rsid w:val="008B691B"/>
    <w:rsid w:val="008B6E37"/>
    <w:rsid w:val="008B6F58"/>
    <w:rsid w:val="008B7336"/>
    <w:rsid w:val="008B750E"/>
    <w:rsid w:val="008B7715"/>
    <w:rsid w:val="008B773E"/>
    <w:rsid w:val="008B78C4"/>
    <w:rsid w:val="008B7980"/>
    <w:rsid w:val="008B7B12"/>
    <w:rsid w:val="008B7F4C"/>
    <w:rsid w:val="008C00A4"/>
    <w:rsid w:val="008C046D"/>
    <w:rsid w:val="008C08AB"/>
    <w:rsid w:val="008C0AA4"/>
    <w:rsid w:val="008C0B95"/>
    <w:rsid w:val="008C0FC0"/>
    <w:rsid w:val="008C12D0"/>
    <w:rsid w:val="008C1501"/>
    <w:rsid w:val="008C17CD"/>
    <w:rsid w:val="008C196F"/>
    <w:rsid w:val="008C1C6C"/>
    <w:rsid w:val="008C1FF0"/>
    <w:rsid w:val="008C221D"/>
    <w:rsid w:val="008C29A7"/>
    <w:rsid w:val="008C2A6D"/>
    <w:rsid w:val="008C2D27"/>
    <w:rsid w:val="008C2D2A"/>
    <w:rsid w:val="008C31DF"/>
    <w:rsid w:val="008C35DE"/>
    <w:rsid w:val="008C3AB5"/>
    <w:rsid w:val="008C3B9A"/>
    <w:rsid w:val="008C3C16"/>
    <w:rsid w:val="008C404E"/>
    <w:rsid w:val="008C46E3"/>
    <w:rsid w:val="008C4757"/>
    <w:rsid w:val="008C47AF"/>
    <w:rsid w:val="008C4A3E"/>
    <w:rsid w:val="008C4B43"/>
    <w:rsid w:val="008C4CAE"/>
    <w:rsid w:val="008C4D26"/>
    <w:rsid w:val="008C4FFD"/>
    <w:rsid w:val="008C5700"/>
    <w:rsid w:val="008C5BF5"/>
    <w:rsid w:val="008C5E6B"/>
    <w:rsid w:val="008C5F8F"/>
    <w:rsid w:val="008C6101"/>
    <w:rsid w:val="008C6131"/>
    <w:rsid w:val="008C628E"/>
    <w:rsid w:val="008C630A"/>
    <w:rsid w:val="008C6318"/>
    <w:rsid w:val="008C66CA"/>
    <w:rsid w:val="008C66F7"/>
    <w:rsid w:val="008C67B5"/>
    <w:rsid w:val="008C6A63"/>
    <w:rsid w:val="008C6BA4"/>
    <w:rsid w:val="008C6BF3"/>
    <w:rsid w:val="008C6DF9"/>
    <w:rsid w:val="008C6FB8"/>
    <w:rsid w:val="008C70D8"/>
    <w:rsid w:val="008C72BD"/>
    <w:rsid w:val="008C73FE"/>
    <w:rsid w:val="008C7549"/>
    <w:rsid w:val="008C761C"/>
    <w:rsid w:val="008C7809"/>
    <w:rsid w:val="008C7A71"/>
    <w:rsid w:val="008C7EDC"/>
    <w:rsid w:val="008D036A"/>
    <w:rsid w:val="008D04A7"/>
    <w:rsid w:val="008D04E0"/>
    <w:rsid w:val="008D0584"/>
    <w:rsid w:val="008D0A94"/>
    <w:rsid w:val="008D0A9F"/>
    <w:rsid w:val="008D10C1"/>
    <w:rsid w:val="008D1180"/>
    <w:rsid w:val="008D1346"/>
    <w:rsid w:val="008D14C5"/>
    <w:rsid w:val="008D14CD"/>
    <w:rsid w:val="008D1852"/>
    <w:rsid w:val="008D190E"/>
    <w:rsid w:val="008D19B9"/>
    <w:rsid w:val="008D1D67"/>
    <w:rsid w:val="008D1F2E"/>
    <w:rsid w:val="008D21EE"/>
    <w:rsid w:val="008D2417"/>
    <w:rsid w:val="008D268D"/>
    <w:rsid w:val="008D285E"/>
    <w:rsid w:val="008D286E"/>
    <w:rsid w:val="008D2C83"/>
    <w:rsid w:val="008D2D31"/>
    <w:rsid w:val="008D2E47"/>
    <w:rsid w:val="008D2ED4"/>
    <w:rsid w:val="008D2FED"/>
    <w:rsid w:val="008D30FB"/>
    <w:rsid w:val="008D31C6"/>
    <w:rsid w:val="008D3634"/>
    <w:rsid w:val="008D371D"/>
    <w:rsid w:val="008D3A57"/>
    <w:rsid w:val="008D3C64"/>
    <w:rsid w:val="008D433A"/>
    <w:rsid w:val="008D4C8C"/>
    <w:rsid w:val="008D4DE9"/>
    <w:rsid w:val="008D4F36"/>
    <w:rsid w:val="008D517C"/>
    <w:rsid w:val="008D524C"/>
    <w:rsid w:val="008D52D5"/>
    <w:rsid w:val="008D5300"/>
    <w:rsid w:val="008D5309"/>
    <w:rsid w:val="008D565A"/>
    <w:rsid w:val="008D58CD"/>
    <w:rsid w:val="008D58D0"/>
    <w:rsid w:val="008D5990"/>
    <w:rsid w:val="008D5B01"/>
    <w:rsid w:val="008D608D"/>
    <w:rsid w:val="008D6B82"/>
    <w:rsid w:val="008D6CAB"/>
    <w:rsid w:val="008D6FCE"/>
    <w:rsid w:val="008D72F1"/>
    <w:rsid w:val="008D76A9"/>
    <w:rsid w:val="008D7731"/>
    <w:rsid w:val="008D78F5"/>
    <w:rsid w:val="008D7CB6"/>
    <w:rsid w:val="008D7ECF"/>
    <w:rsid w:val="008D7F8A"/>
    <w:rsid w:val="008E028A"/>
    <w:rsid w:val="008E03FA"/>
    <w:rsid w:val="008E087D"/>
    <w:rsid w:val="008E0A9F"/>
    <w:rsid w:val="008E0F60"/>
    <w:rsid w:val="008E15B1"/>
    <w:rsid w:val="008E1641"/>
    <w:rsid w:val="008E170B"/>
    <w:rsid w:val="008E1792"/>
    <w:rsid w:val="008E17EC"/>
    <w:rsid w:val="008E19CE"/>
    <w:rsid w:val="008E1B1B"/>
    <w:rsid w:val="008E20C6"/>
    <w:rsid w:val="008E224B"/>
    <w:rsid w:val="008E2395"/>
    <w:rsid w:val="008E2801"/>
    <w:rsid w:val="008E2B0F"/>
    <w:rsid w:val="008E2B92"/>
    <w:rsid w:val="008E2BC2"/>
    <w:rsid w:val="008E2CDF"/>
    <w:rsid w:val="008E3221"/>
    <w:rsid w:val="008E33FC"/>
    <w:rsid w:val="008E35EA"/>
    <w:rsid w:val="008E379E"/>
    <w:rsid w:val="008E39B8"/>
    <w:rsid w:val="008E3A63"/>
    <w:rsid w:val="008E3A93"/>
    <w:rsid w:val="008E3C0B"/>
    <w:rsid w:val="008E41ED"/>
    <w:rsid w:val="008E444F"/>
    <w:rsid w:val="008E4460"/>
    <w:rsid w:val="008E4623"/>
    <w:rsid w:val="008E4862"/>
    <w:rsid w:val="008E493D"/>
    <w:rsid w:val="008E4B32"/>
    <w:rsid w:val="008E4F61"/>
    <w:rsid w:val="008E5128"/>
    <w:rsid w:val="008E5B19"/>
    <w:rsid w:val="008E5BA7"/>
    <w:rsid w:val="008E5CB0"/>
    <w:rsid w:val="008E5D73"/>
    <w:rsid w:val="008E5DEB"/>
    <w:rsid w:val="008E64BD"/>
    <w:rsid w:val="008E6646"/>
    <w:rsid w:val="008E6711"/>
    <w:rsid w:val="008E68FD"/>
    <w:rsid w:val="008E699C"/>
    <w:rsid w:val="008E6AD3"/>
    <w:rsid w:val="008E6DC7"/>
    <w:rsid w:val="008E6E82"/>
    <w:rsid w:val="008E6F4F"/>
    <w:rsid w:val="008E74D5"/>
    <w:rsid w:val="008E768A"/>
    <w:rsid w:val="008E769D"/>
    <w:rsid w:val="008E7782"/>
    <w:rsid w:val="008E7B42"/>
    <w:rsid w:val="008E7CFF"/>
    <w:rsid w:val="008E7E5D"/>
    <w:rsid w:val="008E7F58"/>
    <w:rsid w:val="008F0103"/>
    <w:rsid w:val="008F0711"/>
    <w:rsid w:val="008F09EC"/>
    <w:rsid w:val="008F0B6D"/>
    <w:rsid w:val="008F0B80"/>
    <w:rsid w:val="008F1082"/>
    <w:rsid w:val="008F1121"/>
    <w:rsid w:val="008F1219"/>
    <w:rsid w:val="008F130E"/>
    <w:rsid w:val="008F158D"/>
    <w:rsid w:val="008F163A"/>
    <w:rsid w:val="008F1BB2"/>
    <w:rsid w:val="008F1CFC"/>
    <w:rsid w:val="008F206B"/>
    <w:rsid w:val="008F2232"/>
    <w:rsid w:val="008F2314"/>
    <w:rsid w:val="008F23B4"/>
    <w:rsid w:val="008F2649"/>
    <w:rsid w:val="008F293E"/>
    <w:rsid w:val="008F2951"/>
    <w:rsid w:val="008F2B15"/>
    <w:rsid w:val="008F2DA6"/>
    <w:rsid w:val="008F3442"/>
    <w:rsid w:val="008F3458"/>
    <w:rsid w:val="008F352C"/>
    <w:rsid w:val="008F364B"/>
    <w:rsid w:val="008F3DAF"/>
    <w:rsid w:val="008F3FAF"/>
    <w:rsid w:val="008F4350"/>
    <w:rsid w:val="008F4722"/>
    <w:rsid w:val="008F4C4E"/>
    <w:rsid w:val="008F5606"/>
    <w:rsid w:val="008F5661"/>
    <w:rsid w:val="008F5680"/>
    <w:rsid w:val="008F568A"/>
    <w:rsid w:val="008F5801"/>
    <w:rsid w:val="008F5AA4"/>
    <w:rsid w:val="008F5DFA"/>
    <w:rsid w:val="008F5FBA"/>
    <w:rsid w:val="008F608F"/>
    <w:rsid w:val="008F60BF"/>
    <w:rsid w:val="008F63B9"/>
    <w:rsid w:val="008F6508"/>
    <w:rsid w:val="008F6B4F"/>
    <w:rsid w:val="008F6F3D"/>
    <w:rsid w:val="008F6F60"/>
    <w:rsid w:val="008F7133"/>
    <w:rsid w:val="008F726F"/>
    <w:rsid w:val="008F7475"/>
    <w:rsid w:val="008F78F9"/>
    <w:rsid w:val="008F7B45"/>
    <w:rsid w:val="008F7E98"/>
    <w:rsid w:val="00900474"/>
    <w:rsid w:val="00900510"/>
    <w:rsid w:val="0090068B"/>
    <w:rsid w:val="00900802"/>
    <w:rsid w:val="00900AA9"/>
    <w:rsid w:val="00900D5A"/>
    <w:rsid w:val="00900E2D"/>
    <w:rsid w:val="00900EF4"/>
    <w:rsid w:val="00900FBF"/>
    <w:rsid w:val="00901051"/>
    <w:rsid w:val="00901076"/>
    <w:rsid w:val="00901081"/>
    <w:rsid w:val="009018E9"/>
    <w:rsid w:val="00901AA6"/>
    <w:rsid w:val="00901B12"/>
    <w:rsid w:val="00901C38"/>
    <w:rsid w:val="00901EBC"/>
    <w:rsid w:val="00901F52"/>
    <w:rsid w:val="0090235A"/>
    <w:rsid w:val="00902685"/>
    <w:rsid w:val="0090269E"/>
    <w:rsid w:val="0090273B"/>
    <w:rsid w:val="00902782"/>
    <w:rsid w:val="00902878"/>
    <w:rsid w:val="00902986"/>
    <w:rsid w:val="00902B19"/>
    <w:rsid w:val="00902DAE"/>
    <w:rsid w:val="00902E8B"/>
    <w:rsid w:val="009030F5"/>
    <w:rsid w:val="00903557"/>
    <w:rsid w:val="0090365E"/>
    <w:rsid w:val="009037C8"/>
    <w:rsid w:val="00903B2D"/>
    <w:rsid w:val="00903C4D"/>
    <w:rsid w:val="0090423E"/>
    <w:rsid w:val="00904250"/>
    <w:rsid w:val="009043A5"/>
    <w:rsid w:val="009045C4"/>
    <w:rsid w:val="00904A46"/>
    <w:rsid w:val="00904B10"/>
    <w:rsid w:val="00904BFE"/>
    <w:rsid w:val="00904E56"/>
    <w:rsid w:val="00905317"/>
    <w:rsid w:val="009053C1"/>
    <w:rsid w:val="00905617"/>
    <w:rsid w:val="009057F7"/>
    <w:rsid w:val="00905A64"/>
    <w:rsid w:val="00905D59"/>
    <w:rsid w:val="00905E75"/>
    <w:rsid w:val="00905F14"/>
    <w:rsid w:val="009060CC"/>
    <w:rsid w:val="0090651A"/>
    <w:rsid w:val="00906602"/>
    <w:rsid w:val="00906AB9"/>
    <w:rsid w:val="00906D9B"/>
    <w:rsid w:val="0090712C"/>
    <w:rsid w:val="009071AE"/>
    <w:rsid w:val="009075F1"/>
    <w:rsid w:val="0090776B"/>
    <w:rsid w:val="00907C63"/>
    <w:rsid w:val="00907FFE"/>
    <w:rsid w:val="009100BA"/>
    <w:rsid w:val="00910C61"/>
    <w:rsid w:val="009111FD"/>
    <w:rsid w:val="00911218"/>
    <w:rsid w:val="00911342"/>
    <w:rsid w:val="009114B0"/>
    <w:rsid w:val="00911673"/>
    <w:rsid w:val="0091197F"/>
    <w:rsid w:val="00911DA2"/>
    <w:rsid w:val="00911EE5"/>
    <w:rsid w:val="00911FF5"/>
    <w:rsid w:val="0091210E"/>
    <w:rsid w:val="00912216"/>
    <w:rsid w:val="009122B4"/>
    <w:rsid w:val="009122BF"/>
    <w:rsid w:val="00912300"/>
    <w:rsid w:val="00912647"/>
    <w:rsid w:val="00912A63"/>
    <w:rsid w:val="009131CB"/>
    <w:rsid w:val="00913463"/>
    <w:rsid w:val="0091363B"/>
    <w:rsid w:val="00913929"/>
    <w:rsid w:val="0091392C"/>
    <w:rsid w:val="00913C5E"/>
    <w:rsid w:val="00914220"/>
    <w:rsid w:val="0091450A"/>
    <w:rsid w:val="00914589"/>
    <w:rsid w:val="009146EB"/>
    <w:rsid w:val="00914721"/>
    <w:rsid w:val="009147E4"/>
    <w:rsid w:val="009149D1"/>
    <w:rsid w:val="00914B47"/>
    <w:rsid w:val="00914F9A"/>
    <w:rsid w:val="00915124"/>
    <w:rsid w:val="00915264"/>
    <w:rsid w:val="0091535B"/>
    <w:rsid w:val="00915481"/>
    <w:rsid w:val="009157A2"/>
    <w:rsid w:val="00915838"/>
    <w:rsid w:val="009158AE"/>
    <w:rsid w:val="00915B81"/>
    <w:rsid w:val="00915CA3"/>
    <w:rsid w:val="00915EA8"/>
    <w:rsid w:val="0091633D"/>
    <w:rsid w:val="0091646C"/>
    <w:rsid w:val="0091655A"/>
    <w:rsid w:val="009167A0"/>
    <w:rsid w:val="009167EF"/>
    <w:rsid w:val="00916813"/>
    <w:rsid w:val="00916ADB"/>
    <w:rsid w:val="00916B83"/>
    <w:rsid w:val="00916BB6"/>
    <w:rsid w:val="00916C60"/>
    <w:rsid w:val="00916F4F"/>
    <w:rsid w:val="009173F6"/>
    <w:rsid w:val="00917470"/>
    <w:rsid w:val="009177E5"/>
    <w:rsid w:val="009179E2"/>
    <w:rsid w:val="00917A29"/>
    <w:rsid w:val="00917F57"/>
    <w:rsid w:val="00920061"/>
    <w:rsid w:val="00920256"/>
    <w:rsid w:val="00920741"/>
    <w:rsid w:val="0092083E"/>
    <w:rsid w:val="00920962"/>
    <w:rsid w:val="00920986"/>
    <w:rsid w:val="00920A49"/>
    <w:rsid w:val="00920CA9"/>
    <w:rsid w:val="00920CC9"/>
    <w:rsid w:val="00920CCD"/>
    <w:rsid w:val="00920E90"/>
    <w:rsid w:val="00920F0E"/>
    <w:rsid w:val="00921023"/>
    <w:rsid w:val="0092104C"/>
    <w:rsid w:val="009210BC"/>
    <w:rsid w:val="009211EF"/>
    <w:rsid w:val="0092143C"/>
    <w:rsid w:val="009216B5"/>
    <w:rsid w:val="0092199A"/>
    <w:rsid w:val="00921A48"/>
    <w:rsid w:val="00921C08"/>
    <w:rsid w:val="00921FA0"/>
    <w:rsid w:val="009222F4"/>
    <w:rsid w:val="00922C0D"/>
    <w:rsid w:val="00922EA6"/>
    <w:rsid w:val="00922EAB"/>
    <w:rsid w:val="00923070"/>
    <w:rsid w:val="0092310A"/>
    <w:rsid w:val="009235D7"/>
    <w:rsid w:val="00923BE1"/>
    <w:rsid w:val="00923C75"/>
    <w:rsid w:val="00924013"/>
    <w:rsid w:val="009241C4"/>
    <w:rsid w:val="009243BE"/>
    <w:rsid w:val="009247C4"/>
    <w:rsid w:val="009247D2"/>
    <w:rsid w:val="009248D0"/>
    <w:rsid w:val="00924B8F"/>
    <w:rsid w:val="00924CF7"/>
    <w:rsid w:val="00924E77"/>
    <w:rsid w:val="00924F00"/>
    <w:rsid w:val="009252A7"/>
    <w:rsid w:val="00925352"/>
    <w:rsid w:val="009254B2"/>
    <w:rsid w:val="009256D8"/>
    <w:rsid w:val="009258D8"/>
    <w:rsid w:val="009259A0"/>
    <w:rsid w:val="00925A52"/>
    <w:rsid w:val="00925AB0"/>
    <w:rsid w:val="00925BBD"/>
    <w:rsid w:val="00925CF1"/>
    <w:rsid w:val="00925CFA"/>
    <w:rsid w:val="00926289"/>
    <w:rsid w:val="009262D0"/>
    <w:rsid w:val="0092669A"/>
    <w:rsid w:val="0092692C"/>
    <w:rsid w:val="009269F0"/>
    <w:rsid w:val="00926B4C"/>
    <w:rsid w:val="00926F99"/>
    <w:rsid w:val="0092700A"/>
    <w:rsid w:val="00927166"/>
    <w:rsid w:val="0092718A"/>
    <w:rsid w:val="009275D1"/>
    <w:rsid w:val="009279AB"/>
    <w:rsid w:val="009279C3"/>
    <w:rsid w:val="00930021"/>
    <w:rsid w:val="00930374"/>
    <w:rsid w:val="00930455"/>
    <w:rsid w:val="00930577"/>
    <w:rsid w:val="009305E0"/>
    <w:rsid w:val="00930601"/>
    <w:rsid w:val="009308F4"/>
    <w:rsid w:val="00930EAE"/>
    <w:rsid w:val="0093118A"/>
    <w:rsid w:val="009311AF"/>
    <w:rsid w:val="009312BA"/>
    <w:rsid w:val="0093135C"/>
    <w:rsid w:val="0093139F"/>
    <w:rsid w:val="00931468"/>
    <w:rsid w:val="009314C6"/>
    <w:rsid w:val="00931711"/>
    <w:rsid w:val="009318BA"/>
    <w:rsid w:val="00931A76"/>
    <w:rsid w:val="00931C33"/>
    <w:rsid w:val="00931F71"/>
    <w:rsid w:val="00932AF6"/>
    <w:rsid w:val="00932C39"/>
    <w:rsid w:val="00932CF5"/>
    <w:rsid w:val="00932D90"/>
    <w:rsid w:val="00932E59"/>
    <w:rsid w:val="009331DE"/>
    <w:rsid w:val="00933496"/>
    <w:rsid w:val="009334F1"/>
    <w:rsid w:val="00933581"/>
    <w:rsid w:val="00933FF8"/>
    <w:rsid w:val="009340CA"/>
    <w:rsid w:val="0093428D"/>
    <w:rsid w:val="0093446D"/>
    <w:rsid w:val="0093449A"/>
    <w:rsid w:val="009346B9"/>
    <w:rsid w:val="00934759"/>
    <w:rsid w:val="00934777"/>
    <w:rsid w:val="00934A41"/>
    <w:rsid w:val="00934A52"/>
    <w:rsid w:val="00934AE7"/>
    <w:rsid w:val="00934B01"/>
    <w:rsid w:val="00934C26"/>
    <w:rsid w:val="00934C28"/>
    <w:rsid w:val="00934E3C"/>
    <w:rsid w:val="00935237"/>
    <w:rsid w:val="009352B7"/>
    <w:rsid w:val="009355B1"/>
    <w:rsid w:val="009356F7"/>
    <w:rsid w:val="00935960"/>
    <w:rsid w:val="00935C04"/>
    <w:rsid w:val="00935EE6"/>
    <w:rsid w:val="00935F62"/>
    <w:rsid w:val="0093600D"/>
    <w:rsid w:val="0093638D"/>
    <w:rsid w:val="00936416"/>
    <w:rsid w:val="0093643E"/>
    <w:rsid w:val="009364F0"/>
    <w:rsid w:val="009366B9"/>
    <w:rsid w:val="0093676F"/>
    <w:rsid w:val="009367AA"/>
    <w:rsid w:val="00936EF3"/>
    <w:rsid w:val="00936F9F"/>
    <w:rsid w:val="009375EF"/>
    <w:rsid w:val="00937788"/>
    <w:rsid w:val="00937DD3"/>
    <w:rsid w:val="00937EFC"/>
    <w:rsid w:val="009401A5"/>
    <w:rsid w:val="00940286"/>
    <w:rsid w:val="009404BD"/>
    <w:rsid w:val="009405F9"/>
    <w:rsid w:val="009408B7"/>
    <w:rsid w:val="009408D2"/>
    <w:rsid w:val="00940A03"/>
    <w:rsid w:val="00940A88"/>
    <w:rsid w:val="0094118E"/>
    <w:rsid w:val="0094124B"/>
    <w:rsid w:val="0094144A"/>
    <w:rsid w:val="009415FB"/>
    <w:rsid w:val="00941620"/>
    <w:rsid w:val="009419B0"/>
    <w:rsid w:val="00941DCC"/>
    <w:rsid w:val="009423B3"/>
    <w:rsid w:val="009423DC"/>
    <w:rsid w:val="009423F6"/>
    <w:rsid w:val="00942475"/>
    <w:rsid w:val="009424FB"/>
    <w:rsid w:val="00942A88"/>
    <w:rsid w:val="00942B69"/>
    <w:rsid w:val="00942D41"/>
    <w:rsid w:val="00942E32"/>
    <w:rsid w:val="009430E8"/>
    <w:rsid w:val="00943109"/>
    <w:rsid w:val="009435E9"/>
    <w:rsid w:val="00943697"/>
    <w:rsid w:val="00943800"/>
    <w:rsid w:val="00943803"/>
    <w:rsid w:val="00943B36"/>
    <w:rsid w:val="00943B80"/>
    <w:rsid w:val="00943B9D"/>
    <w:rsid w:val="00943BB4"/>
    <w:rsid w:val="00943C1E"/>
    <w:rsid w:val="00943E21"/>
    <w:rsid w:val="0094424C"/>
    <w:rsid w:val="0094429F"/>
    <w:rsid w:val="00944377"/>
    <w:rsid w:val="0094467A"/>
    <w:rsid w:val="00944728"/>
    <w:rsid w:val="0094475D"/>
    <w:rsid w:val="009448C3"/>
    <w:rsid w:val="00944B0C"/>
    <w:rsid w:val="00944D24"/>
    <w:rsid w:val="00944D2B"/>
    <w:rsid w:val="00944E06"/>
    <w:rsid w:val="00945217"/>
    <w:rsid w:val="00945353"/>
    <w:rsid w:val="0094560E"/>
    <w:rsid w:val="0094564D"/>
    <w:rsid w:val="00945712"/>
    <w:rsid w:val="0094597A"/>
    <w:rsid w:val="009459CF"/>
    <w:rsid w:val="00945D87"/>
    <w:rsid w:val="00945F5D"/>
    <w:rsid w:val="0094603D"/>
    <w:rsid w:val="00946085"/>
    <w:rsid w:val="0094618C"/>
    <w:rsid w:val="009466F7"/>
    <w:rsid w:val="00946C44"/>
    <w:rsid w:val="00946E60"/>
    <w:rsid w:val="00946EEF"/>
    <w:rsid w:val="00946F66"/>
    <w:rsid w:val="00947137"/>
    <w:rsid w:val="00947314"/>
    <w:rsid w:val="009473A8"/>
    <w:rsid w:val="00947477"/>
    <w:rsid w:val="00947666"/>
    <w:rsid w:val="0094768F"/>
    <w:rsid w:val="0094774D"/>
    <w:rsid w:val="009477BD"/>
    <w:rsid w:val="00947835"/>
    <w:rsid w:val="00947FAB"/>
    <w:rsid w:val="009500CD"/>
    <w:rsid w:val="009501E4"/>
    <w:rsid w:val="009502B4"/>
    <w:rsid w:val="0095037F"/>
    <w:rsid w:val="009503F6"/>
    <w:rsid w:val="009504B4"/>
    <w:rsid w:val="009505DE"/>
    <w:rsid w:val="0095072F"/>
    <w:rsid w:val="00950866"/>
    <w:rsid w:val="009508B5"/>
    <w:rsid w:val="00950A67"/>
    <w:rsid w:val="00950E66"/>
    <w:rsid w:val="00950EA0"/>
    <w:rsid w:val="00951836"/>
    <w:rsid w:val="0095189B"/>
    <w:rsid w:val="00951B69"/>
    <w:rsid w:val="009520AE"/>
    <w:rsid w:val="0095240F"/>
    <w:rsid w:val="009524AD"/>
    <w:rsid w:val="00952D4E"/>
    <w:rsid w:val="009531BD"/>
    <w:rsid w:val="0095321A"/>
    <w:rsid w:val="009538A7"/>
    <w:rsid w:val="009540AD"/>
    <w:rsid w:val="009542A1"/>
    <w:rsid w:val="009548AC"/>
    <w:rsid w:val="00954C67"/>
    <w:rsid w:val="00954F2C"/>
    <w:rsid w:val="009550D0"/>
    <w:rsid w:val="009550D9"/>
    <w:rsid w:val="0095534E"/>
    <w:rsid w:val="0095561B"/>
    <w:rsid w:val="009556AC"/>
    <w:rsid w:val="0095581E"/>
    <w:rsid w:val="00955B0C"/>
    <w:rsid w:val="00955C98"/>
    <w:rsid w:val="00955D56"/>
    <w:rsid w:val="00955E26"/>
    <w:rsid w:val="0095629C"/>
    <w:rsid w:val="009562E9"/>
    <w:rsid w:val="00956726"/>
    <w:rsid w:val="00957049"/>
    <w:rsid w:val="0095705D"/>
    <w:rsid w:val="009570FD"/>
    <w:rsid w:val="009572C6"/>
    <w:rsid w:val="0095736F"/>
    <w:rsid w:val="009576B1"/>
    <w:rsid w:val="00957B0C"/>
    <w:rsid w:val="00957B2D"/>
    <w:rsid w:val="00957B45"/>
    <w:rsid w:val="00957BEF"/>
    <w:rsid w:val="00957CB3"/>
    <w:rsid w:val="00957F2F"/>
    <w:rsid w:val="00960131"/>
    <w:rsid w:val="009601F1"/>
    <w:rsid w:val="00960293"/>
    <w:rsid w:val="0096029F"/>
    <w:rsid w:val="00960D07"/>
    <w:rsid w:val="00960E0F"/>
    <w:rsid w:val="00961017"/>
    <w:rsid w:val="0096101B"/>
    <w:rsid w:val="00961060"/>
    <w:rsid w:val="0096116C"/>
    <w:rsid w:val="009613F5"/>
    <w:rsid w:val="0096149B"/>
    <w:rsid w:val="00961618"/>
    <w:rsid w:val="009616B1"/>
    <w:rsid w:val="00961EA0"/>
    <w:rsid w:val="00961F1D"/>
    <w:rsid w:val="00961FD1"/>
    <w:rsid w:val="009622E7"/>
    <w:rsid w:val="00962A58"/>
    <w:rsid w:val="00962AD5"/>
    <w:rsid w:val="0096308B"/>
    <w:rsid w:val="0096360D"/>
    <w:rsid w:val="009638A7"/>
    <w:rsid w:val="0096393A"/>
    <w:rsid w:val="00963F6D"/>
    <w:rsid w:val="00963FDA"/>
    <w:rsid w:val="0096429E"/>
    <w:rsid w:val="00964631"/>
    <w:rsid w:val="00964682"/>
    <w:rsid w:val="00964744"/>
    <w:rsid w:val="00964788"/>
    <w:rsid w:val="00964941"/>
    <w:rsid w:val="00964EA5"/>
    <w:rsid w:val="00964EC7"/>
    <w:rsid w:val="00964F17"/>
    <w:rsid w:val="009653C5"/>
    <w:rsid w:val="00965942"/>
    <w:rsid w:val="00965A26"/>
    <w:rsid w:val="00965DB8"/>
    <w:rsid w:val="009660B5"/>
    <w:rsid w:val="009666C2"/>
    <w:rsid w:val="00966922"/>
    <w:rsid w:val="00966FA6"/>
    <w:rsid w:val="009672FC"/>
    <w:rsid w:val="00967360"/>
    <w:rsid w:val="0096751A"/>
    <w:rsid w:val="00967613"/>
    <w:rsid w:val="00967ABD"/>
    <w:rsid w:val="00967B55"/>
    <w:rsid w:val="00967D25"/>
    <w:rsid w:val="009700DA"/>
    <w:rsid w:val="00970789"/>
    <w:rsid w:val="009709CB"/>
    <w:rsid w:val="00970CFA"/>
    <w:rsid w:val="00970F54"/>
    <w:rsid w:val="00970FB0"/>
    <w:rsid w:val="00970FCC"/>
    <w:rsid w:val="009711C1"/>
    <w:rsid w:val="00971219"/>
    <w:rsid w:val="009715ED"/>
    <w:rsid w:val="009715F0"/>
    <w:rsid w:val="009719FD"/>
    <w:rsid w:val="00971AF4"/>
    <w:rsid w:val="00971CC5"/>
    <w:rsid w:val="00972111"/>
    <w:rsid w:val="00972129"/>
    <w:rsid w:val="00972147"/>
    <w:rsid w:val="00972212"/>
    <w:rsid w:val="0097237D"/>
    <w:rsid w:val="009725D2"/>
    <w:rsid w:val="00972A2B"/>
    <w:rsid w:val="00972B06"/>
    <w:rsid w:val="00972D08"/>
    <w:rsid w:val="00972DB8"/>
    <w:rsid w:val="00972E9E"/>
    <w:rsid w:val="00972EA4"/>
    <w:rsid w:val="00973276"/>
    <w:rsid w:val="009732B7"/>
    <w:rsid w:val="009734B5"/>
    <w:rsid w:val="0097355C"/>
    <w:rsid w:val="009736E2"/>
    <w:rsid w:val="009737D3"/>
    <w:rsid w:val="00973B61"/>
    <w:rsid w:val="00973C50"/>
    <w:rsid w:val="00973C85"/>
    <w:rsid w:val="00973C8F"/>
    <w:rsid w:val="00973CBD"/>
    <w:rsid w:val="00973E30"/>
    <w:rsid w:val="00973FFF"/>
    <w:rsid w:val="0097417C"/>
    <w:rsid w:val="0097449F"/>
    <w:rsid w:val="009744BA"/>
    <w:rsid w:val="0097466D"/>
    <w:rsid w:val="00974694"/>
    <w:rsid w:val="00974773"/>
    <w:rsid w:val="009747D1"/>
    <w:rsid w:val="00974869"/>
    <w:rsid w:val="00974870"/>
    <w:rsid w:val="009748BD"/>
    <w:rsid w:val="009748DD"/>
    <w:rsid w:val="00974AD6"/>
    <w:rsid w:val="00974BFB"/>
    <w:rsid w:val="0097508E"/>
    <w:rsid w:val="00975427"/>
    <w:rsid w:val="0097563E"/>
    <w:rsid w:val="00975668"/>
    <w:rsid w:val="00975832"/>
    <w:rsid w:val="00975B08"/>
    <w:rsid w:val="00975D8F"/>
    <w:rsid w:val="00975E16"/>
    <w:rsid w:val="00975EF0"/>
    <w:rsid w:val="00975FF6"/>
    <w:rsid w:val="00976179"/>
    <w:rsid w:val="009761B1"/>
    <w:rsid w:val="00976230"/>
    <w:rsid w:val="00976272"/>
    <w:rsid w:val="009762BE"/>
    <w:rsid w:val="00976780"/>
    <w:rsid w:val="009773A3"/>
    <w:rsid w:val="0097775C"/>
    <w:rsid w:val="00977763"/>
    <w:rsid w:val="009778CD"/>
    <w:rsid w:val="0097794B"/>
    <w:rsid w:val="00977965"/>
    <w:rsid w:val="00977B0B"/>
    <w:rsid w:val="00977BF7"/>
    <w:rsid w:val="00977D80"/>
    <w:rsid w:val="00980115"/>
    <w:rsid w:val="0098025E"/>
    <w:rsid w:val="00980278"/>
    <w:rsid w:val="009802C0"/>
    <w:rsid w:val="00980589"/>
    <w:rsid w:val="00980A11"/>
    <w:rsid w:val="00980AAE"/>
    <w:rsid w:val="00980F65"/>
    <w:rsid w:val="00980FEF"/>
    <w:rsid w:val="00981266"/>
    <w:rsid w:val="009813DB"/>
    <w:rsid w:val="0098156A"/>
    <w:rsid w:val="009815E4"/>
    <w:rsid w:val="009817C9"/>
    <w:rsid w:val="009819D3"/>
    <w:rsid w:val="00981B1C"/>
    <w:rsid w:val="00981DEA"/>
    <w:rsid w:val="00981E92"/>
    <w:rsid w:val="00981F00"/>
    <w:rsid w:val="00981F11"/>
    <w:rsid w:val="00982257"/>
    <w:rsid w:val="00982277"/>
    <w:rsid w:val="009822A2"/>
    <w:rsid w:val="00982390"/>
    <w:rsid w:val="0098243F"/>
    <w:rsid w:val="009825DB"/>
    <w:rsid w:val="00982D19"/>
    <w:rsid w:val="00983411"/>
    <w:rsid w:val="00983524"/>
    <w:rsid w:val="009836CB"/>
    <w:rsid w:val="009837A3"/>
    <w:rsid w:val="00983806"/>
    <w:rsid w:val="00983807"/>
    <w:rsid w:val="00983973"/>
    <w:rsid w:val="00983EDF"/>
    <w:rsid w:val="00983FF5"/>
    <w:rsid w:val="009841B5"/>
    <w:rsid w:val="0098427F"/>
    <w:rsid w:val="009843AE"/>
    <w:rsid w:val="009845D2"/>
    <w:rsid w:val="00984739"/>
    <w:rsid w:val="00984751"/>
    <w:rsid w:val="00984913"/>
    <w:rsid w:val="00984A87"/>
    <w:rsid w:val="00984AC6"/>
    <w:rsid w:val="00984B42"/>
    <w:rsid w:val="00984DF9"/>
    <w:rsid w:val="009854A0"/>
    <w:rsid w:val="00985928"/>
    <w:rsid w:val="009859A4"/>
    <w:rsid w:val="00985A50"/>
    <w:rsid w:val="00985D61"/>
    <w:rsid w:val="00985E1E"/>
    <w:rsid w:val="00985FA4"/>
    <w:rsid w:val="009862C2"/>
    <w:rsid w:val="009863CF"/>
    <w:rsid w:val="009865E2"/>
    <w:rsid w:val="009867BC"/>
    <w:rsid w:val="0098691B"/>
    <w:rsid w:val="00986C1E"/>
    <w:rsid w:val="00986C2F"/>
    <w:rsid w:val="009872C5"/>
    <w:rsid w:val="009877C2"/>
    <w:rsid w:val="009878D4"/>
    <w:rsid w:val="009879CB"/>
    <w:rsid w:val="00987ADB"/>
    <w:rsid w:val="00987E3D"/>
    <w:rsid w:val="00987E60"/>
    <w:rsid w:val="00987F14"/>
    <w:rsid w:val="009900F8"/>
    <w:rsid w:val="009901E4"/>
    <w:rsid w:val="009901F2"/>
    <w:rsid w:val="0099023C"/>
    <w:rsid w:val="0099031E"/>
    <w:rsid w:val="009906D9"/>
    <w:rsid w:val="0099094C"/>
    <w:rsid w:val="009909F7"/>
    <w:rsid w:val="00990A3A"/>
    <w:rsid w:val="00990C56"/>
    <w:rsid w:val="00990F6F"/>
    <w:rsid w:val="009914F0"/>
    <w:rsid w:val="00991802"/>
    <w:rsid w:val="00991A0C"/>
    <w:rsid w:val="00991A15"/>
    <w:rsid w:val="00991B97"/>
    <w:rsid w:val="00991DFA"/>
    <w:rsid w:val="00991E94"/>
    <w:rsid w:val="00992443"/>
    <w:rsid w:val="00992542"/>
    <w:rsid w:val="0099298F"/>
    <w:rsid w:val="00992A43"/>
    <w:rsid w:val="00992D01"/>
    <w:rsid w:val="00992D85"/>
    <w:rsid w:val="009934BB"/>
    <w:rsid w:val="009936C6"/>
    <w:rsid w:val="00993806"/>
    <w:rsid w:val="009939B4"/>
    <w:rsid w:val="009939D6"/>
    <w:rsid w:val="00993AE6"/>
    <w:rsid w:val="00993E37"/>
    <w:rsid w:val="00993F5F"/>
    <w:rsid w:val="00994070"/>
    <w:rsid w:val="0099408E"/>
    <w:rsid w:val="00994251"/>
    <w:rsid w:val="0099444F"/>
    <w:rsid w:val="009947DF"/>
    <w:rsid w:val="00994BD6"/>
    <w:rsid w:val="00994C4F"/>
    <w:rsid w:val="00994CC2"/>
    <w:rsid w:val="00994E86"/>
    <w:rsid w:val="00994F0D"/>
    <w:rsid w:val="00994F36"/>
    <w:rsid w:val="00994F6E"/>
    <w:rsid w:val="00995105"/>
    <w:rsid w:val="009951A5"/>
    <w:rsid w:val="009952B3"/>
    <w:rsid w:val="009954A2"/>
    <w:rsid w:val="0099583C"/>
    <w:rsid w:val="00995863"/>
    <w:rsid w:val="00995AA1"/>
    <w:rsid w:val="00995AF8"/>
    <w:rsid w:val="00995F59"/>
    <w:rsid w:val="00996178"/>
    <w:rsid w:val="0099619B"/>
    <w:rsid w:val="00996252"/>
    <w:rsid w:val="00996633"/>
    <w:rsid w:val="00996AE4"/>
    <w:rsid w:val="00996B89"/>
    <w:rsid w:val="00996C65"/>
    <w:rsid w:val="00996D5D"/>
    <w:rsid w:val="009973F9"/>
    <w:rsid w:val="009974CF"/>
    <w:rsid w:val="00997A49"/>
    <w:rsid w:val="00997B13"/>
    <w:rsid w:val="00997F17"/>
    <w:rsid w:val="00997FD2"/>
    <w:rsid w:val="009A0293"/>
    <w:rsid w:val="009A0627"/>
    <w:rsid w:val="009A0662"/>
    <w:rsid w:val="009A0696"/>
    <w:rsid w:val="009A0B55"/>
    <w:rsid w:val="009A0C34"/>
    <w:rsid w:val="009A140E"/>
    <w:rsid w:val="009A180C"/>
    <w:rsid w:val="009A18E5"/>
    <w:rsid w:val="009A1B75"/>
    <w:rsid w:val="009A1C1C"/>
    <w:rsid w:val="009A1C8B"/>
    <w:rsid w:val="009A1D07"/>
    <w:rsid w:val="009A1D43"/>
    <w:rsid w:val="009A1D58"/>
    <w:rsid w:val="009A23E3"/>
    <w:rsid w:val="009A24CF"/>
    <w:rsid w:val="009A2585"/>
    <w:rsid w:val="009A2DCB"/>
    <w:rsid w:val="009A3021"/>
    <w:rsid w:val="009A31C6"/>
    <w:rsid w:val="009A3292"/>
    <w:rsid w:val="009A34C0"/>
    <w:rsid w:val="009A36A9"/>
    <w:rsid w:val="009A3752"/>
    <w:rsid w:val="009A3CEA"/>
    <w:rsid w:val="009A3E28"/>
    <w:rsid w:val="009A3EC5"/>
    <w:rsid w:val="009A4075"/>
    <w:rsid w:val="009A4519"/>
    <w:rsid w:val="009A48D4"/>
    <w:rsid w:val="009A4A3C"/>
    <w:rsid w:val="009A4CC3"/>
    <w:rsid w:val="009A50BD"/>
    <w:rsid w:val="009A50C9"/>
    <w:rsid w:val="009A5978"/>
    <w:rsid w:val="009A5AD1"/>
    <w:rsid w:val="009A5B47"/>
    <w:rsid w:val="009A5CF1"/>
    <w:rsid w:val="009A5EA7"/>
    <w:rsid w:val="009A60ED"/>
    <w:rsid w:val="009A6201"/>
    <w:rsid w:val="009A680B"/>
    <w:rsid w:val="009A6A5E"/>
    <w:rsid w:val="009A71D5"/>
    <w:rsid w:val="009A74B1"/>
    <w:rsid w:val="009A7864"/>
    <w:rsid w:val="009A7896"/>
    <w:rsid w:val="009A79B2"/>
    <w:rsid w:val="009A7D97"/>
    <w:rsid w:val="009A7E20"/>
    <w:rsid w:val="009B014F"/>
    <w:rsid w:val="009B016B"/>
    <w:rsid w:val="009B0215"/>
    <w:rsid w:val="009B0954"/>
    <w:rsid w:val="009B0978"/>
    <w:rsid w:val="009B0B55"/>
    <w:rsid w:val="009B1086"/>
    <w:rsid w:val="009B1130"/>
    <w:rsid w:val="009B146D"/>
    <w:rsid w:val="009B1CE4"/>
    <w:rsid w:val="009B1CF0"/>
    <w:rsid w:val="009B1FE8"/>
    <w:rsid w:val="009B220D"/>
    <w:rsid w:val="009B24E9"/>
    <w:rsid w:val="009B2B49"/>
    <w:rsid w:val="009B2D86"/>
    <w:rsid w:val="009B3340"/>
    <w:rsid w:val="009B3458"/>
    <w:rsid w:val="009B3632"/>
    <w:rsid w:val="009B376A"/>
    <w:rsid w:val="009B37A9"/>
    <w:rsid w:val="009B3890"/>
    <w:rsid w:val="009B3B96"/>
    <w:rsid w:val="009B3F52"/>
    <w:rsid w:val="009B3F8E"/>
    <w:rsid w:val="009B41D7"/>
    <w:rsid w:val="009B44B9"/>
    <w:rsid w:val="009B44F7"/>
    <w:rsid w:val="009B47D3"/>
    <w:rsid w:val="009B4835"/>
    <w:rsid w:val="009B4895"/>
    <w:rsid w:val="009B48BB"/>
    <w:rsid w:val="009B4B69"/>
    <w:rsid w:val="009B4D2F"/>
    <w:rsid w:val="009B4DB7"/>
    <w:rsid w:val="009B5009"/>
    <w:rsid w:val="009B50EC"/>
    <w:rsid w:val="009B51DC"/>
    <w:rsid w:val="009B5503"/>
    <w:rsid w:val="009B55B4"/>
    <w:rsid w:val="009B59B1"/>
    <w:rsid w:val="009B59D0"/>
    <w:rsid w:val="009B5AC1"/>
    <w:rsid w:val="009B5B2B"/>
    <w:rsid w:val="009B5BDC"/>
    <w:rsid w:val="009B5CBF"/>
    <w:rsid w:val="009B60EF"/>
    <w:rsid w:val="009B6225"/>
    <w:rsid w:val="009B6507"/>
    <w:rsid w:val="009B65C9"/>
    <w:rsid w:val="009B6680"/>
    <w:rsid w:val="009B697C"/>
    <w:rsid w:val="009B6AC6"/>
    <w:rsid w:val="009B6D36"/>
    <w:rsid w:val="009B6F40"/>
    <w:rsid w:val="009B70D9"/>
    <w:rsid w:val="009B73B5"/>
    <w:rsid w:val="009B796C"/>
    <w:rsid w:val="009B7A6C"/>
    <w:rsid w:val="009B7C66"/>
    <w:rsid w:val="009C000F"/>
    <w:rsid w:val="009C0084"/>
    <w:rsid w:val="009C04EF"/>
    <w:rsid w:val="009C04FC"/>
    <w:rsid w:val="009C051F"/>
    <w:rsid w:val="009C0603"/>
    <w:rsid w:val="009C0664"/>
    <w:rsid w:val="009C0A50"/>
    <w:rsid w:val="009C0AC5"/>
    <w:rsid w:val="009C0D5E"/>
    <w:rsid w:val="009C0EC1"/>
    <w:rsid w:val="009C1141"/>
    <w:rsid w:val="009C17D2"/>
    <w:rsid w:val="009C18D5"/>
    <w:rsid w:val="009C1FD2"/>
    <w:rsid w:val="009C20D2"/>
    <w:rsid w:val="009C221E"/>
    <w:rsid w:val="009C29BA"/>
    <w:rsid w:val="009C29C1"/>
    <w:rsid w:val="009C2DF5"/>
    <w:rsid w:val="009C3019"/>
    <w:rsid w:val="009C3247"/>
    <w:rsid w:val="009C332D"/>
    <w:rsid w:val="009C3597"/>
    <w:rsid w:val="009C37C4"/>
    <w:rsid w:val="009C389B"/>
    <w:rsid w:val="009C3A0B"/>
    <w:rsid w:val="009C3AE2"/>
    <w:rsid w:val="009C3BBE"/>
    <w:rsid w:val="009C3F0E"/>
    <w:rsid w:val="009C448E"/>
    <w:rsid w:val="009C4575"/>
    <w:rsid w:val="009C46AA"/>
    <w:rsid w:val="009C48AA"/>
    <w:rsid w:val="009C4B57"/>
    <w:rsid w:val="009C5189"/>
    <w:rsid w:val="009C526F"/>
    <w:rsid w:val="009C52BC"/>
    <w:rsid w:val="009C5B07"/>
    <w:rsid w:val="009C5BE4"/>
    <w:rsid w:val="009C6846"/>
    <w:rsid w:val="009C6A7A"/>
    <w:rsid w:val="009C6E40"/>
    <w:rsid w:val="009C6EB2"/>
    <w:rsid w:val="009C6EF7"/>
    <w:rsid w:val="009C7052"/>
    <w:rsid w:val="009C724C"/>
    <w:rsid w:val="009C7394"/>
    <w:rsid w:val="009C7395"/>
    <w:rsid w:val="009C76C8"/>
    <w:rsid w:val="009C7D5B"/>
    <w:rsid w:val="009C7EAD"/>
    <w:rsid w:val="009D0054"/>
    <w:rsid w:val="009D0101"/>
    <w:rsid w:val="009D03BF"/>
    <w:rsid w:val="009D0446"/>
    <w:rsid w:val="009D049D"/>
    <w:rsid w:val="009D053C"/>
    <w:rsid w:val="009D08B9"/>
    <w:rsid w:val="009D0A53"/>
    <w:rsid w:val="009D0D49"/>
    <w:rsid w:val="009D10AF"/>
    <w:rsid w:val="009D1151"/>
    <w:rsid w:val="009D1236"/>
    <w:rsid w:val="009D15FB"/>
    <w:rsid w:val="009D1762"/>
    <w:rsid w:val="009D1A57"/>
    <w:rsid w:val="009D1F41"/>
    <w:rsid w:val="009D200D"/>
    <w:rsid w:val="009D2419"/>
    <w:rsid w:val="009D24EC"/>
    <w:rsid w:val="009D26C1"/>
    <w:rsid w:val="009D2750"/>
    <w:rsid w:val="009D2BD4"/>
    <w:rsid w:val="009D2C6E"/>
    <w:rsid w:val="009D2DE3"/>
    <w:rsid w:val="009D2F63"/>
    <w:rsid w:val="009D3330"/>
    <w:rsid w:val="009D399A"/>
    <w:rsid w:val="009D3C7F"/>
    <w:rsid w:val="009D45D3"/>
    <w:rsid w:val="009D46A8"/>
    <w:rsid w:val="009D487E"/>
    <w:rsid w:val="009D496C"/>
    <w:rsid w:val="009D4A9C"/>
    <w:rsid w:val="009D4AB7"/>
    <w:rsid w:val="009D4DFD"/>
    <w:rsid w:val="009D4E33"/>
    <w:rsid w:val="009D51C7"/>
    <w:rsid w:val="009D54D6"/>
    <w:rsid w:val="009D57CF"/>
    <w:rsid w:val="009D5AF9"/>
    <w:rsid w:val="009D5B10"/>
    <w:rsid w:val="009D5D74"/>
    <w:rsid w:val="009D5D8D"/>
    <w:rsid w:val="009D5E03"/>
    <w:rsid w:val="009D5E49"/>
    <w:rsid w:val="009D6129"/>
    <w:rsid w:val="009D626B"/>
    <w:rsid w:val="009D6338"/>
    <w:rsid w:val="009D6376"/>
    <w:rsid w:val="009D63CC"/>
    <w:rsid w:val="009D669E"/>
    <w:rsid w:val="009D6845"/>
    <w:rsid w:val="009D6E37"/>
    <w:rsid w:val="009D6EE3"/>
    <w:rsid w:val="009D6F72"/>
    <w:rsid w:val="009D6F9C"/>
    <w:rsid w:val="009D778D"/>
    <w:rsid w:val="009D78C8"/>
    <w:rsid w:val="009D79A5"/>
    <w:rsid w:val="009D7A5F"/>
    <w:rsid w:val="009E0253"/>
    <w:rsid w:val="009E05A7"/>
    <w:rsid w:val="009E079B"/>
    <w:rsid w:val="009E083B"/>
    <w:rsid w:val="009E0911"/>
    <w:rsid w:val="009E0B1C"/>
    <w:rsid w:val="009E0D9C"/>
    <w:rsid w:val="009E1019"/>
    <w:rsid w:val="009E13D9"/>
    <w:rsid w:val="009E1C86"/>
    <w:rsid w:val="009E2003"/>
    <w:rsid w:val="009E2039"/>
    <w:rsid w:val="009E2120"/>
    <w:rsid w:val="009E2585"/>
    <w:rsid w:val="009E2787"/>
    <w:rsid w:val="009E27D4"/>
    <w:rsid w:val="009E2840"/>
    <w:rsid w:val="009E2D7D"/>
    <w:rsid w:val="009E2DC5"/>
    <w:rsid w:val="009E32DF"/>
    <w:rsid w:val="009E33BB"/>
    <w:rsid w:val="009E3558"/>
    <w:rsid w:val="009E35F2"/>
    <w:rsid w:val="009E3CF3"/>
    <w:rsid w:val="009E3F39"/>
    <w:rsid w:val="009E3FA5"/>
    <w:rsid w:val="009E4B16"/>
    <w:rsid w:val="009E4C32"/>
    <w:rsid w:val="009E4F88"/>
    <w:rsid w:val="009E5140"/>
    <w:rsid w:val="009E5781"/>
    <w:rsid w:val="009E5895"/>
    <w:rsid w:val="009E5936"/>
    <w:rsid w:val="009E5A31"/>
    <w:rsid w:val="009E5C46"/>
    <w:rsid w:val="009E5E5D"/>
    <w:rsid w:val="009E5E6E"/>
    <w:rsid w:val="009E5EBB"/>
    <w:rsid w:val="009E631B"/>
    <w:rsid w:val="009E6651"/>
    <w:rsid w:val="009E688E"/>
    <w:rsid w:val="009E69DF"/>
    <w:rsid w:val="009E6C86"/>
    <w:rsid w:val="009E6E1C"/>
    <w:rsid w:val="009E721B"/>
    <w:rsid w:val="009E72CF"/>
    <w:rsid w:val="009E7318"/>
    <w:rsid w:val="009E740D"/>
    <w:rsid w:val="009E7947"/>
    <w:rsid w:val="009E79F3"/>
    <w:rsid w:val="009F0218"/>
    <w:rsid w:val="009F034F"/>
    <w:rsid w:val="009F04B8"/>
    <w:rsid w:val="009F05EF"/>
    <w:rsid w:val="009F060F"/>
    <w:rsid w:val="009F086B"/>
    <w:rsid w:val="009F0CAB"/>
    <w:rsid w:val="009F10B4"/>
    <w:rsid w:val="009F10C3"/>
    <w:rsid w:val="009F1443"/>
    <w:rsid w:val="009F1B59"/>
    <w:rsid w:val="009F2189"/>
    <w:rsid w:val="009F250B"/>
    <w:rsid w:val="009F27AF"/>
    <w:rsid w:val="009F2821"/>
    <w:rsid w:val="009F2905"/>
    <w:rsid w:val="009F2C32"/>
    <w:rsid w:val="009F2CBB"/>
    <w:rsid w:val="009F2E97"/>
    <w:rsid w:val="009F2F77"/>
    <w:rsid w:val="009F3043"/>
    <w:rsid w:val="009F3137"/>
    <w:rsid w:val="009F3343"/>
    <w:rsid w:val="009F3547"/>
    <w:rsid w:val="009F3A46"/>
    <w:rsid w:val="009F3BBB"/>
    <w:rsid w:val="009F3FF9"/>
    <w:rsid w:val="009F4062"/>
    <w:rsid w:val="009F4084"/>
    <w:rsid w:val="009F40E5"/>
    <w:rsid w:val="009F423B"/>
    <w:rsid w:val="009F46CD"/>
    <w:rsid w:val="009F4D6F"/>
    <w:rsid w:val="009F4E60"/>
    <w:rsid w:val="009F4EF0"/>
    <w:rsid w:val="009F5027"/>
    <w:rsid w:val="009F51DB"/>
    <w:rsid w:val="009F5277"/>
    <w:rsid w:val="009F53B8"/>
    <w:rsid w:val="009F56CF"/>
    <w:rsid w:val="009F57CA"/>
    <w:rsid w:val="009F5841"/>
    <w:rsid w:val="009F5903"/>
    <w:rsid w:val="009F5ACA"/>
    <w:rsid w:val="009F5EB9"/>
    <w:rsid w:val="009F606C"/>
    <w:rsid w:val="009F6609"/>
    <w:rsid w:val="009F69DA"/>
    <w:rsid w:val="009F6C30"/>
    <w:rsid w:val="009F6DA9"/>
    <w:rsid w:val="009F6E24"/>
    <w:rsid w:val="009F6E74"/>
    <w:rsid w:val="009F706A"/>
    <w:rsid w:val="009F70A1"/>
    <w:rsid w:val="009F73A4"/>
    <w:rsid w:val="009F7546"/>
    <w:rsid w:val="009F77B5"/>
    <w:rsid w:val="009F7B3A"/>
    <w:rsid w:val="00A0005C"/>
    <w:rsid w:val="00A00440"/>
    <w:rsid w:val="00A007C2"/>
    <w:rsid w:val="00A00923"/>
    <w:rsid w:val="00A00B44"/>
    <w:rsid w:val="00A00C95"/>
    <w:rsid w:val="00A00D70"/>
    <w:rsid w:val="00A00F22"/>
    <w:rsid w:val="00A011B9"/>
    <w:rsid w:val="00A014A2"/>
    <w:rsid w:val="00A01549"/>
    <w:rsid w:val="00A0176D"/>
    <w:rsid w:val="00A01D1D"/>
    <w:rsid w:val="00A01E1A"/>
    <w:rsid w:val="00A01FA4"/>
    <w:rsid w:val="00A02033"/>
    <w:rsid w:val="00A0289B"/>
    <w:rsid w:val="00A02A2E"/>
    <w:rsid w:val="00A02EA2"/>
    <w:rsid w:val="00A030FA"/>
    <w:rsid w:val="00A03437"/>
    <w:rsid w:val="00A03484"/>
    <w:rsid w:val="00A03549"/>
    <w:rsid w:val="00A03A36"/>
    <w:rsid w:val="00A03ABB"/>
    <w:rsid w:val="00A03C79"/>
    <w:rsid w:val="00A03C93"/>
    <w:rsid w:val="00A0408E"/>
    <w:rsid w:val="00A041C5"/>
    <w:rsid w:val="00A041E7"/>
    <w:rsid w:val="00A0469D"/>
    <w:rsid w:val="00A049F2"/>
    <w:rsid w:val="00A049FE"/>
    <w:rsid w:val="00A04A90"/>
    <w:rsid w:val="00A04AF6"/>
    <w:rsid w:val="00A04C54"/>
    <w:rsid w:val="00A05017"/>
    <w:rsid w:val="00A0504E"/>
    <w:rsid w:val="00A05ED4"/>
    <w:rsid w:val="00A064E4"/>
    <w:rsid w:val="00A06613"/>
    <w:rsid w:val="00A067EF"/>
    <w:rsid w:val="00A06A9A"/>
    <w:rsid w:val="00A06CE7"/>
    <w:rsid w:val="00A06E15"/>
    <w:rsid w:val="00A07B8E"/>
    <w:rsid w:val="00A07C5A"/>
    <w:rsid w:val="00A07DC0"/>
    <w:rsid w:val="00A07E86"/>
    <w:rsid w:val="00A10322"/>
    <w:rsid w:val="00A10340"/>
    <w:rsid w:val="00A10612"/>
    <w:rsid w:val="00A10893"/>
    <w:rsid w:val="00A109F6"/>
    <w:rsid w:val="00A10A04"/>
    <w:rsid w:val="00A10BF8"/>
    <w:rsid w:val="00A11508"/>
    <w:rsid w:val="00A1193A"/>
    <w:rsid w:val="00A11BF0"/>
    <w:rsid w:val="00A11C6D"/>
    <w:rsid w:val="00A11F6E"/>
    <w:rsid w:val="00A12038"/>
    <w:rsid w:val="00A12434"/>
    <w:rsid w:val="00A124A2"/>
    <w:rsid w:val="00A12737"/>
    <w:rsid w:val="00A127D1"/>
    <w:rsid w:val="00A1291F"/>
    <w:rsid w:val="00A129FA"/>
    <w:rsid w:val="00A12B00"/>
    <w:rsid w:val="00A12B3F"/>
    <w:rsid w:val="00A12B57"/>
    <w:rsid w:val="00A12DE4"/>
    <w:rsid w:val="00A12E45"/>
    <w:rsid w:val="00A12EBB"/>
    <w:rsid w:val="00A12FCA"/>
    <w:rsid w:val="00A1303A"/>
    <w:rsid w:val="00A13201"/>
    <w:rsid w:val="00A135A5"/>
    <w:rsid w:val="00A1382D"/>
    <w:rsid w:val="00A1386A"/>
    <w:rsid w:val="00A13A1B"/>
    <w:rsid w:val="00A13D58"/>
    <w:rsid w:val="00A13DD0"/>
    <w:rsid w:val="00A13FB0"/>
    <w:rsid w:val="00A14281"/>
    <w:rsid w:val="00A144F5"/>
    <w:rsid w:val="00A14717"/>
    <w:rsid w:val="00A14800"/>
    <w:rsid w:val="00A14B38"/>
    <w:rsid w:val="00A14B4C"/>
    <w:rsid w:val="00A1535D"/>
    <w:rsid w:val="00A153D4"/>
    <w:rsid w:val="00A15496"/>
    <w:rsid w:val="00A15589"/>
    <w:rsid w:val="00A155EE"/>
    <w:rsid w:val="00A15A03"/>
    <w:rsid w:val="00A1625C"/>
    <w:rsid w:val="00A16270"/>
    <w:rsid w:val="00A1640A"/>
    <w:rsid w:val="00A1654E"/>
    <w:rsid w:val="00A16996"/>
    <w:rsid w:val="00A16A8B"/>
    <w:rsid w:val="00A16E05"/>
    <w:rsid w:val="00A16FA8"/>
    <w:rsid w:val="00A1721E"/>
    <w:rsid w:val="00A1754C"/>
    <w:rsid w:val="00A17B1C"/>
    <w:rsid w:val="00A17C06"/>
    <w:rsid w:val="00A17EDD"/>
    <w:rsid w:val="00A17FE6"/>
    <w:rsid w:val="00A200A2"/>
    <w:rsid w:val="00A20471"/>
    <w:rsid w:val="00A204B1"/>
    <w:rsid w:val="00A20672"/>
    <w:rsid w:val="00A208E0"/>
    <w:rsid w:val="00A208E9"/>
    <w:rsid w:val="00A208F0"/>
    <w:rsid w:val="00A209DB"/>
    <w:rsid w:val="00A20A0D"/>
    <w:rsid w:val="00A20F58"/>
    <w:rsid w:val="00A20F80"/>
    <w:rsid w:val="00A20FF5"/>
    <w:rsid w:val="00A210A6"/>
    <w:rsid w:val="00A210BF"/>
    <w:rsid w:val="00A21121"/>
    <w:rsid w:val="00A215E5"/>
    <w:rsid w:val="00A216DF"/>
    <w:rsid w:val="00A21862"/>
    <w:rsid w:val="00A21912"/>
    <w:rsid w:val="00A21B6D"/>
    <w:rsid w:val="00A21F9B"/>
    <w:rsid w:val="00A22014"/>
    <w:rsid w:val="00A2208F"/>
    <w:rsid w:val="00A220D3"/>
    <w:rsid w:val="00A22183"/>
    <w:rsid w:val="00A22274"/>
    <w:rsid w:val="00A22333"/>
    <w:rsid w:val="00A225B4"/>
    <w:rsid w:val="00A22758"/>
    <w:rsid w:val="00A22B5B"/>
    <w:rsid w:val="00A22BC9"/>
    <w:rsid w:val="00A22C43"/>
    <w:rsid w:val="00A230E6"/>
    <w:rsid w:val="00A23124"/>
    <w:rsid w:val="00A233C5"/>
    <w:rsid w:val="00A23535"/>
    <w:rsid w:val="00A235F2"/>
    <w:rsid w:val="00A236A9"/>
    <w:rsid w:val="00A236F1"/>
    <w:rsid w:val="00A237E2"/>
    <w:rsid w:val="00A23944"/>
    <w:rsid w:val="00A2399E"/>
    <w:rsid w:val="00A23A25"/>
    <w:rsid w:val="00A23B3F"/>
    <w:rsid w:val="00A23CBE"/>
    <w:rsid w:val="00A23D74"/>
    <w:rsid w:val="00A243C6"/>
    <w:rsid w:val="00A243E8"/>
    <w:rsid w:val="00A2456B"/>
    <w:rsid w:val="00A24597"/>
    <w:rsid w:val="00A2475F"/>
    <w:rsid w:val="00A24C20"/>
    <w:rsid w:val="00A24CBF"/>
    <w:rsid w:val="00A24D59"/>
    <w:rsid w:val="00A250FB"/>
    <w:rsid w:val="00A2519F"/>
    <w:rsid w:val="00A251BD"/>
    <w:rsid w:val="00A252AB"/>
    <w:rsid w:val="00A25501"/>
    <w:rsid w:val="00A25572"/>
    <w:rsid w:val="00A25684"/>
    <w:rsid w:val="00A25A21"/>
    <w:rsid w:val="00A25AA4"/>
    <w:rsid w:val="00A25EF3"/>
    <w:rsid w:val="00A25F0F"/>
    <w:rsid w:val="00A26130"/>
    <w:rsid w:val="00A26193"/>
    <w:rsid w:val="00A26413"/>
    <w:rsid w:val="00A26423"/>
    <w:rsid w:val="00A2655F"/>
    <w:rsid w:val="00A2680B"/>
    <w:rsid w:val="00A2685E"/>
    <w:rsid w:val="00A26926"/>
    <w:rsid w:val="00A26DEA"/>
    <w:rsid w:val="00A273AD"/>
    <w:rsid w:val="00A27572"/>
    <w:rsid w:val="00A27587"/>
    <w:rsid w:val="00A27F89"/>
    <w:rsid w:val="00A3002D"/>
    <w:rsid w:val="00A30296"/>
    <w:rsid w:val="00A302D6"/>
    <w:rsid w:val="00A3054E"/>
    <w:rsid w:val="00A306D2"/>
    <w:rsid w:val="00A308A5"/>
    <w:rsid w:val="00A308C7"/>
    <w:rsid w:val="00A30919"/>
    <w:rsid w:val="00A30E46"/>
    <w:rsid w:val="00A310FE"/>
    <w:rsid w:val="00A311D2"/>
    <w:rsid w:val="00A3124E"/>
    <w:rsid w:val="00A31715"/>
    <w:rsid w:val="00A31769"/>
    <w:rsid w:val="00A317DC"/>
    <w:rsid w:val="00A318B6"/>
    <w:rsid w:val="00A31AC2"/>
    <w:rsid w:val="00A31C8D"/>
    <w:rsid w:val="00A32097"/>
    <w:rsid w:val="00A32359"/>
    <w:rsid w:val="00A323D2"/>
    <w:rsid w:val="00A3263E"/>
    <w:rsid w:val="00A3269C"/>
    <w:rsid w:val="00A329A8"/>
    <w:rsid w:val="00A332AC"/>
    <w:rsid w:val="00A336AB"/>
    <w:rsid w:val="00A339EC"/>
    <w:rsid w:val="00A33BD7"/>
    <w:rsid w:val="00A33C30"/>
    <w:rsid w:val="00A3414B"/>
    <w:rsid w:val="00A348D1"/>
    <w:rsid w:val="00A34D96"/>
    <w:rsid w:val="00A350AB"/>
    <w:rsid w:val="00A353A7"/>
    <w:rsid w:val="00A359A5"/>
    <w:rsid w:val="00A35AF4"/>
    <w:rsid w:val="00A35B7A"/>
    <w:rsid w:val="00A35D1D"/>
    <w:rsid w:val="00A35F20"/>
    <w:rsid w:val="00A360D7"/>
    <w:rsid w:val="00A3635F"/>
    <w:rsid w:val="00A363F7"/>
    <w:rsid w:val="00A36520"/>
    <w:rsid w:val="00A36595"/>
    <w:rsid w:val="00A36657"/>
    <w:rsid w:val="00A367BD"/>
    <w:rsid w:val="00A36A2F"/>
    <w:rsid w:val="00A36EA8"/>
    <w:rsid w:val="00A36F4F"/>
    <w:rsid w:val="00A36F61"/>
    <w:rsid w:val="00A3717E"/>
    <w:rsid w:val="00A3768E"/>
    <w:rsid w:val="00A37835"/>
    <w:rsid w:val="00A37ECC"/>
    <w:rsid w:val="00A37F1D"/>
    <w:rsid w:val="00A40582"/>
    <w:rsid w:val="00A406BA"/>
    <w:rsid w:val="00A40DB1"/>
    <w:rsid w:val="00A40F9E"/>
    <w:rsid w:val="00A4127F"/>
    <w:rsid w:val="00A41414"/>
    <w:rsid w:val="00A4149C"/>
    <w:rsid w:val="00A415DD"/>
    <w:rsid w:val="00A41B3B"/>
    <w:rsid w:val="00A41BF0"/>
    <w:rsid w:val="00A41E9D"/>
    <w:rsid w:val="00A41F76"/>
    <w:rsid w:val="00A41F8E"/>
    <w:rsid w:val="00A420B7"/>
    <w:rsid w:val="00A42548"/>
    <w:rsid w:val="00A4264F"/>
    <w:rsid w:val="00A42927"/>
    <w:rsid w:val="00A42978"/>
    <w:rsid w:val="00A42AFA"/>
    <w:rsid w:val="00A42DA9"/>
    <w:rsid w:val="00A43044"/>
    <w:rsid w:val="00A4315D"/>
    <w:rsid w:val="00A435DD"/>
    <w:rsid w:val="00A43742"/>
    <w:rsid w:val="00A437AC"/>
    <w:rsid w:val="00A43BE6"/>
    <w:rsid w:val="00A44415"/>
    <w:rsid w:val="00A4470F"/>
    <w:rsid w:val="00A447A3"/>
    <w:rsid w:val="00A447EC"/>
    <w:rsid w:val="00A448A1"/>
    <w:rsid w:val="00A448B0"/>
    <w:rsid w:val="00A44BC4"/>
    <w:rsid w:val="00A44D94"/>
    <w:rsid w:val="00A44E5B"/>
    <w:rsid w:val="00A45394"/>
    <w:rsid w:val="00A454FC"/>
    <w:rsid w:val="00A45679"/>
    <w:rsid w:val="00A4568C"/>
    <w:rsid w:val="00A45E30"/>
    <w:rsid w:val="00A464F1"/>
    <w:rsid w:val="00A46591"/>
    <w:rsid w:val="00A46696"/>
    <w:rsid w:val="00A466DA"/>
    <w:rsid w:val="00A466F9"/>
    <w:rsid w:val="00A46BCA"/>
    <w:rsid w:val="00A47169"/>
    <w:rsid w:val="00A473FE"/>
    <w:rsid w:val="00A47475"/>
    <w:rsid w:val="00A474C4"/>
    <w:rsid w:val="00A478B3"/>
    <w:rsid w:val="00A47F09"/>
    <w:rsid w:val="00A500D5"/>
    <w:rsid w:val="00A501EF"/>
    <w:rsid w:val="00A50415"/>
    <w:rsid w:val="00A50643"/>
    <w:rsid w:val="00A51262"/>
    <w:rsid w:val="00A51510"/>
    <w:rsid w:val="00A51DED"/>
    <w:rsid w:val="00A51E17"/>
    <w:rsid w:val="00A5202E"/>
    <w:rsid w:val="00A520BE"/>
    <w:rsid w:val="00A52219"/>
    <w:rsid w:val="00A525F9"/>
    <w:rsid w:val="00A528E7"/>
    <w:rsid w:val="00A52969"/>
    <w:rsid w:val="00A52A63"/>
    <w:rsid w:val="00A52DBD"/>
    <w:rsid w:val="00A52DFE"/>
    <w:rsid w:val="00A53087"/>
    <w:rsid w:val="00A534B7"/>
    <w:rsid w:val="00A5350B"/>
    <w:rsid w:val="00A535E9"/>
    <w:rsid w:val="00A53662"/>
    <w:rsid w:val="00A53B8D"/>
    <w:rsid w:val="00A53BFD"/>
    <w:rsid w:val="00A53E91"/>
    <w:rsid w:val="00A5414A"/>
    <w:rsid w:val="00A54364"/>
    <w:rsid w:val="00A54786"/>
    <w:rsid w:val="00A5492E"/>
    <w:rsid w:val="00A5499B"/>
    <w:rsid w:val="00A54B91"/>
    <w:rsid w:val="00A54E09"/>
    <w:rsid w:val="00A551F5"/>
    <w:rsid w:val="00A5536D"/>
    <w:rsid w:val="00A55388"/>
    <w:rsid w:val="00A555E2"/>
    <w:rsid w:val="00A556C2"/>
    <w:rsid w:val="00A558E3"/>
    <w:rsid w:val="00A55A4A"/>
    <w:rsid w:val="00A55B0D"/>
    <w:rsid w:val="00A55D00"/>
    <w:rsid w:val="00A563E2"/>
    <w:rsid w:val="00A56445"/>
    <w:rsid w:val="00A5671D"/>
    <w:rsid w:val="00A56879"/>
    <w:rsid w:val="00A56A9A"/>
    <w:rsid w:val="00A56C23"/>
    <w:rsid w:val="00A56DE0"/>
    <w:rsid w:val="00A5718D"/>
    <w:rsid w:val="00A57190"/>
    <w:rsid w:val="00A578C3"/>
    <w:rsid w:val="00A57986"/>
    <w:rsid w:val="00A57C44"/>
    <w:rsid w:val="00A57F12"/>
    <w:rsid w:val="00A603DD"/>
    <w:rsid w:val="00A603F9"/>
    <w:rsid w:val="00A60B5C"/>
    <w:rsid w:val="00A60BEE"/>
    <w:rsid w:val="00A613A0"/>
    <w:rsid w:val="00A61571"/>
    <w:rsid w:val="00A616B1"/>
    <w:rsid w:val="00A616B7"/>
    <w:rsid w:val="00A61F7E"/>
    <w:rsid w:val="00A620AB"/>
    <w:rsid w:val="00A6214D"/>
    <w:rsid w:val="00A62207"/>
    <w:rsid w:val="00A62497"/>
    <w:rsid w:val="00A627C8"/>
    <w:rsid w:val="00A62CFA"/>
    <w:rsid w:val="00A62FB9"/>
    <w:rsid w:val="00A6389C"/>
    <w:rsid w:val="00A63A9A"/>
    <w:rsid w:val="00A63AB5"/>
    <w:rsid w:val="00A63FAA"/>
    <w:rsid w:val="00A64466"/>
    <w:rsid w:val="00A64690"/>
    <w:rsid w:val="00A649D9"/>
    <w:rsid w:val="00A64A18"/>
    <w:rsid w:val="00A65104"/>
    <w:rsid w:val="00A65365"/>
    <w:rsid w:val="00A65BF0"/>
    <w:rsid w:val="00A65CF2"/>
    <w:rsid w:val="00A6611D"/>
    <w:rsid w:val="00A66290"/>
    <w:rsid w:val="00A66503"/>
    <w:rsid w:val="00A665AC"/>
    <w:rsid w:val="00A66758"/>
    <w:rsid w:val="00A66AD1"/>
    <w:rsid w:val="00A66BEC"/>
    <w:rsid w:val="00A66E13"/>
    <w:rsid w:val="00A66E8D"/>
    <w:rsid w:val="00A66FC4"/>
    <w:rsid w:val="00A66FFA"/>
    <w:rsid w:val="00A67115"/>
    <w:rsid w:val="00A672A3"/>
    <w:rsid w:val="00A675AE"/>
    <w:rsid w:val="00A678F9"/>
    <w:rsid w:val="00A67B79"/>
    <w:rsid w:val="00A702A7"/>
    <w:rsid w:val="00A704BB"/>
    <w:rsid w:val="00A70937"/>
    <w:rsid w:val="00A70C47"/>
    <w:rsid w:val="00A7107A"/>
    <w:rsid w:val="00A71373"/>
    <w:rsid w:val="00A71854"/>
    <w:rsid w:val="00A718CB"/>
    <w:rsid w:val="00A7194A"/>
    <w:rsid w:val="00A719E4"/>
    <w:rsid w:val="00A71B6A"/>
    <w:rsid w:val="00A71C4C"/>
    <w:rsid w:val="00A71F9B"/>
    <w:rsid w:val="00A720CB"/>
    <w:rsid w:val="00A7250C"/>
    <w:rsid w:val="00A72564"/>
    <w:rsid w:val="00A72851"/>
    <w:rsid w:val="00A72B09"/>
    <w:rsid w:val="00A72B15"/>
    <w:rsid w:val="00A72B73"/>
    <w:rsid w:val="00A72BEF"/>
    <w:rsid w:val="00A72CBE"/>
    <w:rsid w:val="00A72DB4"/>
    <w:rsid w:val="00A735D5"/>
    <w:rsid w:val="00A73974"/>
    <w:rsid w:val="00A73B84"/>
    <w:rsid w:val="00A73C2D"/>
    <w:rsid w:val="00A73D51"/>
    <w:rsid w:val="00A74095"/>
    <w:rsid w:val="00A740EF"/>
    <w:rsid w:val="00A7420C"/>
    <w:rsid w:val="00A746CC"/>
    <w:rsid w:val="00A74BC6"/>
    <w:rsid w:val="00A751A1"/>
    <w:rsid w:val="00A7525F"/>
    <w:rsid w:val="00A75376"/>
    <w:rsid w:val="00A757F7"/>
    <w:rsid w:val="00A76239"/>
    <w:rsid w:val="00A762A0"/>
    <w:rsid w:val="00A76479"/>
    <w:rsid w:val="00A7688D"/>
    <w:rsid w:val="00A76A34"/>
    <w:rsid w:val="00A76AD2"/>
    <w:rsid w:val="00A76BD0"/>
    <w:rsid w:val="00A77185"/>
    <w:rsid w:val="00A77388"/>
    <w:rsid w:val="00A7739F"/>
    <w:rsid w:val="00A7744C"/>
    <w:rsid w:val="00A77461"/>
    <w:rsid w:val="00A775FE"/>
    <w:rsid w:val="00A776CE"/>
    <w:rsid w:val="00A77A66"/>
    <w:rsid w:val="00A77B5C"/>
    <w:rsid w:val="00A77C54"/>
    <w:rsid w:val="00A77FF5"/>
    <w:rsid w:val="00A8009B"/>
    <w:rsid w:val="00A8029D"/>
    <w:rsid w:val="00A806F3"/>
    <w:rsid w:val="00A80972"/>
    <w:rsid w:val="00A80E17"/>
    <w:rsid w:val="00A80F05"/>
    <w:rsid w:val="00A81043"/>
    <w:rsid w:val="00A812EB"/>
    <w:rsid w:val="00A81505"/>
    <w:rsid w:val="00A8177D"/>
    <w:rsid w:val="00A81865"/>
    <w:rsid w:val="00A81C3D"/>
    <w:rsid w:val="00A81D29"/>
    <w:rsid w:val="00A81F5A"/>
    <w:rsid w:val="00A826CF"/>
    <w:rsid w:val="00A82730"/>
    <w:rsid w:val="00A8282B"/>
    <w:rsid w:val="00A82831"/>
    <w:rsid w:val="00A82D9F"/>
    <w:rsid w:val="00A82DD9"/>
    <w:rsid w:val="00A82F55"/>
    <w:rsid w:val="00A82FA1"/>
    <w:rsid w:val="00A833B2"/>
    <w:rsid w:val="00A833FF"/>
    <w:rsid w:val="00A83400"/>
    <w:rsid w:val="00A83448"/>
    <w:rsid w:val="00A83454"/>
    <w:rsid w:val="00A836FC"/>
    <w:rsid w:val="00A83CA3"/>
    <w:rsid w:val="00A83ED9"/>
    <w:rsid w:val="00A83F90"/>
    <w:rsid w:val="00A83FB7"/>
    <w:rsid w:val="00A84232"/>
    <w:rsid w:val="00A8425D"/>
    <w:rsid w:val="00A842F9"/>
    <w:rsid w:val="00A844A3"/>
    <w:rsid w:val="00A84554"/>
    <w:rsid w:val="00A84612"/>
    <w:rsid w:val="00A84649"/>
    <w:rsid w:val="00A84660"/>
    <w:rsid w:val="00A84792"/>
    <w:rsid w:val="00A847E2"/>
    <w:rsid w:val="00A84932"/>
    <w:rsid w:val="00A849AC"/>
    <w:rsid w:val="00A84C2D"/>
    <w:rsid w:val="00A84E88"/>
    <w:rsid w:val="00A855FC"/>
    <w:rsid w:val="00A856BB"/>
    <w:rsid w:val="00A856EF"/>
    <w:rsid w:val="00A85BC8"/>
    <w:rsid w:val="00A86205"/>
    <w:rsid w:val="00A86239"/>
    <w:rsid w:val="00A86288"/>
    <w:rsid w:val="00A866AC"/>
    <w:rsid w:val="00A8685E"/>
    <w:rsid w:val="00A86AD4"/>
    <w:rsid w:val="00A86BD6"/>
    <w:rsid w:val="00A86E09"/>
    <w:rsid w:val="00A86E57"/>
    <w:rsid w:val="00A86F78"/>
    <w:rsid w:val="00A86FDC"/>
    <w:rsid w:val="00A87136"/>
    <w:rsid w:val="00A871F9"/>
    <w:rsid w:val="00A8729A"/>
    <w:rsid w:val="00A877E2"/>
    <w:rsid w:val="00A87BBB"/>
    <w:rsid w:val="00A87C5E"/>
    <w:rsid w:val="00A87C6A"/>
    <w:rsid w:val="00A87F2B"/>
    <w:rsid w:val="00A90096"/>
    <w:rsid w:val="00A905C3"/>
    <w:rsid w:val="00A90A2B"/>
    <w:rsid w:val="00A90BFA"/>
    <w:rsid w:val="00A90D45"/>
    <w:rsid w:val="00A91373"/>
    <w:rsid w:val="00A91497"/>
    <w:rsid w:val="00A91645"/>
    <w:rsid w:val="00A91865"/>
    <w:rsid w:val="00A91C3D"/>
    <w:rsid w:val="00A91E3D"/>
    <w:rsid w:val="00A91F5E"/>
    <w:rsid w:val="00A92726"/>
    <w:rsid w:val="00A92A1A"/>
    <w:rsid w:val="00A92E91"/>
    <w:rsid w:val="00A92E98"/>
    <w:rsid w:val="00A935F9"/>
    <w:rsid w:val="00A9386D"/>
    <w:rsid w:val="00A939A0"/>
    <w:rsid w:val="00A939A5"/>
    <w:rsid w:val="00A93C7F"/>
    <w:rsid w:val="00A93CC8"/>
    <w:rsid w:val="00A9428E"/>
    <w:rsid w:val="00A942D1"/>
    <w:rsid w:val="00A949C6"/>
    <w:rsid w:val="00A94BC9"/>
    <w:rsid w:val="00A94C62"/>
    <w:rsid w:val="00A94CD0"/>
    <w:rsid w:val="00A94D7B"/>
    <w:rsid w:val="00A94E03"/>
    <w:rsid w:val="00A94F0D"/>
    <w:rsid w:val="00A94F20"/>
    <w:rsid w:val="00A950ED"/>
    <w:rsid w:val="00A95401"/>
    <w:rsid w:val="00A954BD"/>
    <w:rsid w:val="00A95663"/>
    <w:rsid w:val="00A9592F"/>
    <w:rsid w:val="00A95955"/>
    <w:rsid w:val="00A9603A"/>
    <w:rsid w:val="00A965EB"/>
    <w:rsid w:val="00A96849"/>
    <w:rsid w:val="00A96DB2"/>
    <w:rsid w:val="00A96E88"/>
    <w:rsid w:val="00A97A17"/>
    <w:rsid w:val="00A97A55"/>
    <w:rsid w:val="00A97C94"/>
    <w:rsid w:val="00AA00AE"/>
    <w:rsid w:val="00AA099A"/>
    <w:rsid w:val="00AA0B5B"/>
    <w:rsid w:val="00AA0CDD"/>
    <w:rsid w:val="00AA0E34"/>
    <w:rsid w:val="00AA1375"/>
    <w:rsid w:val="00AA14B9"/>
    <w:rsid w:val="00AA164F"/>
    <w:rsid w:val="00AA1715"/>
    <w:rsid w:val="00AA176A"/>
    <w:rsid w:val="00AA182A"/>
    <w:rsid w:val="00AA1856"/>
    <w:rsid w:val="00AA19FB"/>
    <w:rsid w:val="00AA1A72"/>
    <w:rsid w:val="00AA1A9A"/>
    <w:rsid w:val="00AA1C2E"/>
    <w:rsid w:val="00AA2173"/>
    <w:rsid w:val="00AA21FE"/>
    <w:rsid w:val="00AA28FA"/>
    <w:rsid w:val="00AA3036"/>
    <w:rsid w:val="00AA3172"/>
    <w:rsid w:val="00AA33E4"/>
    <w:rsid w:val="00AA343D"/>
    <w:rsid w:val="00AA35C4"/>
    <w:rsid w:val="00AA36C6"/>
    <w:rsid w:val="00AA3F8D"/>
    <w:rsid w:val="00AA4199"/>
    <w:rsid w:val="00AA41D5"/>
    <w:rsid w:val="00AA460F"/>
    <w:rsid w:val="00AA4861"/>
    <w:rsid w:val="00AA4E6E"/>
    <w:rsid w:val="00AA5120"/>
    <w:rsid w:val="00AA520E"/>
    <w:rsid w:val="00AA55E8"/>
    <w:rsid w:val="00AA570E"/>
    <w:rsid w:val="00AA59D0"/>
    <w:rsid w:val="00AA5AC0"/>
    <w:rsid w:val="00AA6071"/>
    <w:rsid w:val="00AA614F"/>
    <w:rsid w:val="00AA618E"/>
    <w:rsid w:val="00AA6870"/>
    <w:rsid w:val="00AA697D"/>
    <w:rsid w:val="00AA6AF3"/>
    <w:rsid w:val="00AA6C2F"/>
    <w:rsid w:val="00AA6DA0"/>
    <w:rsid w:val="00AA6E0B"/>
    <w:rsid w:val="00AA7703"/>
    <w:rsid w:val="00AA7D7C"/>
    <w:rsid w:val="00AB0766"/>
    <w:rsid w:val="00AB08E6"/>
    <w:rsid w:val="00AB0A29"/>
    <w:rsid w:val="00AB0B74"/>
    <w:rsid w:val="00AB0D3E"/>
    <w:rsid w:val="00AB23F8"/>
    <w:rsid w:val="00AB2579"/>
    <w:rsid w:val="00AB2A75"/>
    <w:rsid w:val="00AB2B4D"/>
    <w:rsid w:val="00AB352C"/>
    <w:rsid w:val="00AB35D4"/>
    <w:rsid w:val="00AB3656"/>
    <w:rsid w:val="00AB3B97"/>
    <w:rsid w:val="00AB3D8F"/>
    <w:rsid w:val="00AB3EBB"/>
    <w:rsid w:val="00AB3FC7"/>
    <w:rsid w:val="00AB42A7"/>
    <w:rsid w:val="00AB4E98"/>
    <w:rsid w:val="00AB4EBC"/>
    <w:rsid w:val="00AB4F87"/>
    <w:rsid w:val="00AB5350"/>
    <w:rsid w:val="00AB53BA"/>
    <w:rsid w:val="00AB54F4"/>
    <w:rsid w:val="00AB5563"/>
    <w:rsid w:val="00AB5645"/>
    <w:rsid w:val="00AB57EA"/>
    <w:rsid w:val="00AB5851"/>
    <w:rsid w:val="00AB5AFD"/>
    <w:rsid w:val="00AB5DDB"/>
    <w:rsid w:val="00AB62E1"/>
    <w:rsid w:val="00AB62E3"/>
    <w:rsid w:val="00AB66B9"/>
    <w:rsid w:val="00AB6A68"/>
    <w:rsid w:val="00AB6BB4"/>
    <w:rsid w:val="00AB6BF0"/>
    <w:rsid w:val="00AB6C72"/>
    <w:rsid w:val="00AB6D72"/>
    <w:rsid w:val="00AB6DEA"/>
    <w:rsid w:val="00AB6E24"/>
    <w:rsid w:val="00AB6F2C"/>
    <w:rsid w:val="00AB70C9"/>
    <w:rsid w:val="00AB721D"/>
    <w:rsid w:val="00AB7566"/>
    <w:rsid w:val="00AB75D0"/>
    <w:rsid w:val="00AB7711"/>
    <w:rsid w:val="00AB782F"/>
    <w:rsid w:val="00AB789D"/>
    <w:rsid w:val="00AB7BDD"/>
    <w:rsid w:val="00AB7CA9"/>
    <w:rsid w:val="00AB7EFB"/>
    <w:rsid w:val="00AC0309"/>
    <w:rsid w:val="00AC0329"/>
    <w:rsid w:val="00AC048E"/>
    <w:rsid w:val="00AC061E"/>
    <w:rsid w:val="00AC0782"/>
    <w:rsid w:val="00AC080E"/>
    <w:rsid w:val="00AC081A"/>
    <w:rsid w:val="00AC090D"/>
    <w:rsid w:val="00AC0A83"/>
    <w:rsid w:val="00AC0AE7"/>
    <w:rsid w:val="00AC0C8F"/>
    <w:rsid w:val="00AC1146"/>
    <w:rsid w:val="00AC1562"/>
    <w:rsid w:val="00AC185D"/>
    <w:rsid w:val="00AC193E"/>
    <w:rsid w:val="00AC1DF3"/>
    <w:rsid w:val="00AC1E0A"/>
    <w:rsid w:val="00AC21DE"/>
    <w:rsid w:val="00AC25F8"/>
    <w:rsid w:val="00AC287E"/>
    <w:rsid w:val="00AC2A2B"/>
    <w:rsid w:val="00AC2BF4"/>
    <w:rsid w:val="00AC3062"/>
    <w:rsid w:val="00AC3104"/>
    <w:rsid w:val="00AC3134"/>
    <w:rsid w:val="00AC3220"/>
    <w:rsid w:val="00AC37BB"/>
    <w:rsid w:val="00AC39B0"/>
    <w:rsid w:val="00AC3A3C"/>
    <w:rsid w:val="00AC3CD6"/>
    <w:rsid w:val="00AC45DC"/>
    <w:rsid w:val="00AC46AF"/>
    <w:rsid w:val="00AC4974"/>
    <w:rsid w:val="00AC4F2F"/>
    <w:rsid w:val="00AC4F48"/>
    <w:rsid w:val="00AC5648"/>
    <w:rsid w:val="00AC59D1"/>
    <w:rsid w:val="00AC5C59"/>
    <w:rsid w:val="00AC5F2F"/>
    <w:rsid w:val="00AC5F71"/>
    <w:rsid w:val="00AC6291"/>
    <w:rsid w:val="00AC64F2"/>
    <w:rsid w:val="00AC67BC"/>
    <w:rsid w:val="00AC6CD3"/>
    <w:rsid w:val="00AC70E2"/>
    <w:rsid w:val="00AC71E8"/>
    <w:rsid w:val="00AC732A"/>
    <w:rsid w:val="00AC7380"/>
    <w:rsid w:val="00AC74F4"/>
    <w:rsid w:val="00AC7656"/>
    <w:rsid w:val="00AC783D"/>
    <w:rsid w:val="00AC7895"/>
    <w:rsid w:val="00AC7A38"/>
    <w:rsid w:val="00AC7E07"/>
    <w:rsid w:val="00AC7E90"/>
    <w:rsid w:val="00AD018E"/>
    <w:rsid w:val="00AD033B"/>
    <w:rsid w:val="00AD0495"/>
    <w:rsid w:val="00AD08A0"/>
    <w:rsid w:val="00AD08CF"/>
    <w:rsid w:val="00AD0947"/>
    <w:rsid w:val="00AD0B55"/>
    <w:rsid w:val="00AD0F8B"/>
    <w:rsid w:val="00AD1343"/>
    <w:rsid w:val="00AD15C5"/>
    <w:rsid w:val="00AD1AC6"/>
    <w:rsid w:val="00AD1B61"/>
    <w:rsid w:val="00AD1D55"/>
    <w:rsid w:val="00AD21BE"/>
    <w:rsid w:val="00AD226E"/>
    <w:rsid w:val="00AD2446"/>
    <w:rsid w:val="00AD24D2"/>
    <w:rsid w:val="00AD2569"/>
    <w:rsid w:val="00AD2674"/>
    <w:rsid w:val="00AD26A1"/>
    <w:rsid w:val="00AD289D"/>
    <w:rsid w:val="00AD290E"/>
    <w:rsid w:val="00AD2C90"/>
    <w:rsid w:val="00AD2DE2"/>
    <w:rsid w:val="00AD311B"/>
    <w:rsid w:val="00AD3180"/>
    <w:rsid w:val="00AD32D6"/>
    <w:rsid w:val="00AD3405"/>
    <w:rsid w:val="00AD34A0"/>
    <w:rsid w:val="00AD3A1B"/>
    <w:rsid w:val="00AD3A5C"/>
    <w:rsid w:val="00AD3BDD"/>
    <w:rsid w:val="00AD3C08"/>
    <w:rsid w:val="00AD3DF1"/>
    <w:rsid w:val="00AD3EC0"/>
    <w:rsid w:val="00AD42D5"/>
    <w:rsid w:val="00AD42E0"/>
    <w:rsid w:val="00AD430B"/>
    <w:rsid w:val="00AD4563"/>
    <w:rsid w:val="00AD45D3"/>
    <w:rsid w:val="00AD46A7"/>
    <w:rsid w:val="00AD46B0"/>
    <w:rsid w:val="00AD47FB"/>
    <w:rsid w:val="00AD4B02"/>
    <w:rsid w:val="00AD4B7A"/>
    <w:rsid w:val="00AD4D15"/>
    <w:rsid w:val="00AD4E23"/>
    <w:rsid w:val="00AD4FF0"/>
    <w:rsid w:val="00AD522C"/>
    <w:rsid w:val="00AD5615"/>
    <w:rsid w:val="00AD591F"/>
    <w:rsid w:val="00AD5936"/>
    <w:rsid w:val="00AD5F8B"/>
    <w:rsid w:val="00AD64E0"/>
    <w:rsid w:val="00AD6EA5"/>
    <w:rsid w:val="00AD70D3"/>
    <w:rsid w:val="00AD724A"/>
    <w:rsid w:val="00AD73D9"/>
    <w:rsid w:val="00AD77CF"/>
    <w:rsid w:val="00AD79D4"/>
    <w:rsid w:val="00AD7A48"/>
    <w:rsid w:val="00AD7AC8"/>
    <w:rsid w:val="00AD7C25"/>
    <w:rsid w:val="00AD7F03"/>
    <w:rsid w:val="00AE011C"/>
    <w:rsid w:val="00AE034E"/>
    <w:rsid w:val="00AE03C4"/>
    <w:rsid w:val="00AE064C"/>
    <w:rsid w:val="00AE06D3"/>
    <w:rsid w:val="00AE06E4"/>
    <w:rsid w:val="00AE073F"/>
    <w:rsid w:val="00AE0761"/>
    <w:rsid w:val="00AE07DC"/>
    <w:rsid w:val="00AE0CAA"/>
    <w:rsid w:val="00AE0D8A"/>
    <w:rsid w:val="00AE158D"/>
    <w:rsid w:val="00AE1893"/>
    <w:rsid w:val="00AE1A1C"/>
    <w:rsid w:val="00AE1A90"/>
    <w:rsid w:val="00AE1C9D"/>
    <w:rsid w:val="00AE1D89"/>
    <w:rsid w:val="00AE2007"/>
    <w:rsid w:val="00AE20FD"/>
    <w:rsid w:val="00AE23D3"/>
    <w:rsid w:val="00AE2676"/>
    <w:rsid w:val="00AE2758"/>
    <w:rsid w:val="00AE2860"/>
    <w:rsid w:val="00AE29EF"/>
    <w:rsid w:val="00AE2C32"/>
    <w:rsid w:val="00AE2F2A"/>
    <w:rsid w:val="00AE2F58"/>
    <w:rsid w:val="00AE331F"/>
    <w:rsid w:val="00AE3827"/>
    <w:rsid w:val="00AE3847"/>
    <w:rsid w:val="00AE3C4E"/>
    <w:rsid w:val="00AE3CE9"/>
    <w:rsid w:val="00AE4250"/>
    <w:rsid w:val="00AE44AB"/>
    <w:rsid w:val="00AE4874"/>
    <w:rsid w:val="00AE489F"/>
    <w:rsid w:val="00AE4A85"/>
    <w:rsid w:val="00AE5501"/>
    <w:rsid w:val="00AE5944"/>
    <w:rsid w:val="00AE5D31"/>
    <w:rsid w:val="00AE5FDE"/>
    <w:rsid w:val="00AE623E"/>
    <w:rsid w:val="00AE64C7"/>
    <w:rsid w:val="00AE66AA"/>
    <w:rsid w:val="00AE694A"/>
    <w:rsid w:val="00AE6EE3"/>
    <w:rsid w:val="00AE6EE8"/>
    <w:rsid w:val="00AE6F02"/>
    <w:rsid w:val="00AE6F68"/>
    <w:rsid w:val="00AE7203"/>
    <w:rsid w:val="00AE7460"/>
    <w:rsid w:val="00AE7B38"/>
    <w:rsid w:val="00AE7BCD"/>
    <w:rsid w:val="00AE7CBE"/>
    <w:rsid w:val="00AE7DDC"/>
    <w:rsid w:val="00AF00BE"/>
    <w:rsid w:val="00AF0133"/>
    <w:rsid w:val="00AF04A6"/>
    <w:rsid w:val="00AF06FC"/>
    <w:rsid w:val="00AF07AE"/>
    <w:rsid w:val="00AF08E8"/>
    <w:rsid w:val="00AF0923"/>
    <w:rsid w:val="00AF12FC"/>
    <w:rsid w:val="00AF1745"/>
    <w:rsid w:val="00AF183C"/>
    <w:rsid w:val="00AF18DC"/>
    <w:rsid w:val="00AF1B78"/>
    <w:rsid w:val="00AF2120"/>
    <w:rsid w:val="00AF2197"/>
    <w:rsid w:val="00AF25F9"/>
    <w:rsid w:val="00AF266B"/>
    <w:rsid w:val="00AF26A9"/>
    <w:rsid w:val="00AF27EF"/>
    <w:rsid w:val="00AF2942"/>
    <w:rsid w:val="00AF29E6"/>
    <w:rsid w:val="00AF2A96"/>
    <w:rsid w:val="00AF2D07"/>
    <w:rsid w:val="00AF2EF4"/>
    <w:rsid w:val="00AF3156"/>
    <w:rsid w:val="00AF3626"/>
    <w:rsid w:val="00AF3649"/>
    <w:rsid w:val="00AF373A"/>
    <w:rsid w:val="00AF3770"/>
    <w:rsid w:val="00AF38D9"/>
    <w:rsid w:val="00AF3BD7"/>
    <w:rsid w:val="00AF3C7B"/>
    <w:rsid w:val="00AF3DBF"/>
    <w:rsid w:val="00AF3EBD"/>
    <w:rsid w:val="00AF4113"/>
    <w:rsid w:val="00AF4203"/>
    <w:rsid w:val="00AF425C"/>
    <w:rsid w:val="00AF42F6"/>
    <w:rsid w:val="00AF45F7"/>
    <w:rsid w:val="00AF4738"/>
    <w:rsid w:val="00AF483A"/>
    <w:rsid w:val="00AF49BE"/>
    <w:rsid w:val="00AF4BDF"/>
    <w:rsid w:val="00AF4BF4"/>
    <w:rsid w:val="00AF4E00"/>
    <w:rsid w:val="00AF4EC9"/>
    <w:rsid w:val="00AF4F25"/>
    <w:rsid w:val="00AF5383"/>
    <w:rsid w:val="00AF5547"/>
    <w:rsid w:val="00AF57A8"/>
    <w:rsid w:val="00AF5A59"/>
    <w:rsid w:val="00AF5AD2"/>
    <w:rsid w:val="00AF5B13"/>
    <w:rsid w:val="00AF5B47"/>
    <w:rsid w:val="00AF5B49"/>
    <w:rsid w:val="00AF5C9A"/>
    <w:rsid w:val="00AF613D"/>
    <w:rsid w:val="00AF649C"/>
    <w:rsid w:val="00AF64CA"/>
    <w:rsid w:val="00AF6CC9"/>
    <w:rsid w:val="00AF7143"/>
    <w:rsid w:val="00AF7AAA"/>
    <w:rsid w:val="00AF7B2B"/>
    <w:rsid w:val="00AF7D5A"/>
    <w:rsid w:val="00B000B9"/>
    <w:rsid w:val="00B00178"/>
    <w:rsid w:val="00B003CE"/>
    <w:rsid w:val="00B0088F"/>
    <w:rsid w:val="00B00C64"/>
    <w:rsid w:val="00B00CB2"/>
    <w:rsid w:val="00B00E38"/>
    <w:rsid w:val="00B00F4B"/>
    <w:rsid w:val="00B015D2"/>
    <w:rsid w:val="00B01A4E"/>
    <w:rsid w:val="00B01BB1"/>
    <w:rsid w:val="00B01BB6"/>
    <w:rsid w:val="00B01C0D"/>
    <w:rsid w:val="00B020DD"/>
    <w:rsid w:val="00B02437"/>
    <w:rsid w:val="00B025EB"/>
    <w:rsid w:val="00B0289A"/>
    <w:rsid w:val="00B02C9F"/>
    <w:rsid w:val="00B03904"/>
    <w:rsid w:val="00B03C1A"/>
    <w:rsid w:val="00B03C4F"/>
    <w:rsid w:val="00B04027"/>
    <w:rsid w:val="00B040D1"/>
    <w:rsid w:val="00B041B6"/>
    <w:rsid w:val="00B043D8"/>
    <w:rsid w:val="00B04753"/>
    <w:rsid w:val="00B04C08"/>
    <w:rsid w:val="00B04C76"/>
    <w:rsid w:val="00B04E46"/>
    <w:rsid w:val="00B04F5F"/>
    <w:rsid w:val="00B052CA"/>
    <w:rsid w:val="00B056A2"/>
    <w:rsid w:val="00B05AB2"/>
    <w:rsid w:val="00B05BA4"/>
    <w:rsid w:val="00B06356"/>
    <w:rsid w:val="00B068CE"/>
    <w:rsid w:val="00B0723B"/>
    <w:rsid w:val="00B073AC"/>
    <w:rsid w:val="00B077BB"/>
    <w:rsid w:val="00B079B6"/>
    <w:rsid w:val="00B07D8F"/>
    <w:rsid w:val="00B07DA6"/>
    <w:rsid w:val="00B1011A"/>
    <w:rsid w:val="00B101AA"/>
    <w:rsid w:val="00B10281"/>
    <w:rsid w:val="00B10307"/>
    <w:rsid w:val="00B10900"/>
    <w:rsid w:val="00B10A7B"/>
    <w:rsid w:val="00B10CFA"/>
    <w:rsid w:val="00B10EDD"/>
    <w:rsid w:val="00B11027"/>
    <w:rsid w:val="00B1155B"/>
    <w:rsid w:val="00B1198A"/>
    <w:rsid w:val="00B11CB5"/>
    <w:rsid w:val="00B11E62"/>
    <w:rsid w:val="00B11F84"/>
    <w:rsid w:val="00B120FC"/>
    <w:rsid w:val="00B12C03"/>
    <w:rsid w:val="00B12CD6"/>
    <w:rsid w:val="00B13587"/>
    <w:rsid w:val="00B13675"/>
    <w:rsid w:val="00B136F4"/>
    <w:rsid w:val="00B138C5"/>
    <w:rsid w:val="00B13DC5"/>
    <w:rsid w:val="00B13DE9"/>
    <w:rsid w:val="00B1435C"/>
    <w:rsid w:val="00B143AD"/>
    <w:rsid w:val="00B14424"/>
    <w:rsid w:val="00B14636"/>
    <w:rsid w:val="00B14888"/>
    <w:rsid w:val="00B1499F"/>
    <w:rsid w:val="00B14A40"/>
    <w:rsid w:val="00B14C02"/>
    <w:rsid w:val="00B14CDF"/>
    <w:rsid w:val="00B14D10"/>
    <w:rsid w:val="00B14D5F"/>
    <w:rsid w:val="00B1518B"/>
    <w:rsid w:val="00B15483"/>
    <w:rsid w:val="00B155A0"/>
    <w:rsid w:val="00B158A7"/>
    <w:rsid w:val="00B1595C"/>
    <w:rsid w:val="00B1596E"/>
    <w:rsid w:val="00B15C49"/>
    <w:rsid w:val="00B15C5E"/>
    <w:rsid w:val="00B15CC4"/>
    <w:rsid w:val="00B16091"/>
    <w:rsid w:val="00B16549"/>
    <w:rsid w:val="00B16783"/>
    <w:rsid w:val="00B169A0"/>
    <w:rsid w:val="00B16A23"/>
    <w:rsid w:val="00B16B27"/>
    <w:rsid w:val="00B16BF2"/>
    <w:rsid w:val="00B16E87"/>
    <w:rsid w:val="00B1728B"/>
    <w:rsid w:val="00B17671"/>
    <w:rsid w:val="00B1775F"/>
    <w:rsid w:val="00B179FE"/>
    <w:rsid w:val="00B17B7F"/>
    <w:rsid w:val="00B17C31"/>
    <w:rsid w:val="00B17FE5"/>
    <w:rsid w:val="00B201AC"/>
    <w:rsid w:val="00B20446"/>
    <w:rsid w:val="00B206A2"/>
    <w:rsid w:val="00B207AA"/>
    <w:rsid w:val="00B20C22"/>
    <w:rsid w:val="00B211C4"/>
    <w:rsid w:val="00B21903"/>
    <w:rsid w:val="00B21A82"/>
    <w:rsid w:val="00B21CEA"/>
    <w:rsid w:val="00B21F0B"/>
    <w:rsid w:val="00B2244A"/>
    <w:rsid w:val="00B2260F"/>
    <w:rsid w:val="00B22755"/>
    <w:rsid w:val="00B2291B"/>
    <w:rsid w:val="00B2294F"/>
    <w:rsid w:val="00B22A67"/>
    <w:rsid w:val="00B22A71"/>
    <w:rsid w:val="00B22C90"/>
    <w:rsid w:val="00B230F4"/>
    <w:rsid w:val="00B23A43"/>
    <w:rsid w:val="00B23B3F"/>
    <w:rsid w:val="00B23E63"/>
    <w:rsid w:val="00B244A4"/>
    <w:rsid w:val="00B244B3"/>
    <w:rsid w:val="00B24593"/>
    <w:rsid w:val="00B246A4"/>
    <w:rsid w:val="00B247F7"/>
    <w:rsid w:val="00B2484A"/>
    <w:rsid w:val="00B25020"/>
    <w:rsid w:val="00B2514A"/>
    <w:rsid w:val="00B251C3"/>
    <w:rsid w:val="00B25450"/>
    <w:rsid w:val="00B259F4"/>
    <w:rsid w:val="00B25F69"/>
    <w:rsid w:val="00B260BD"/>
    <w:rsid w:val="00B26124"/>
    <w:rsid w:val="00B26716"/>
    <w:rsid w:val="00B26A21"/>
    <w:rsid w:val="00B26C63"/>
    <w:rsid w:val="00B26E8C"/>
    <w:rsid w:val="00B26EC9"/>
    <w:rsid w:val="00B277EC"/>
    <w:rsid w:val="00B2797E"/>
    <w:rsid w:val="00B301C2"/>
    <w:rsid w:val="00B30814"/>
    <w:rsid w:val="00B30A2B"/>
    <w:rsid w:val="00B30A85"/>
    <w:rsid w:val="00B30C9C"/>
    <w:rsid w:val="00B30EB8"/>
    <w:rsid w:val="00B312B6"/>
    <w:rsid w:val="00B31351"/>
    <w:rsid w:val="00B313D4"/>
    <w:rsid w:val="00B3155F"/>
    <w:rsid w:val="00B31A89"/>
    <w:rsid w:val="00B31E12"/>
    <w:rsid w:val="00B31E7E"/>
    <w:rsid w:val="00B32009"/>
    <w:rsid w:val="00B32555"/>
    <w:rsid w:val="00B32A23"/>
    <w:rsid w:val="00B32C45"/>
    <w:rsid w:val="00B32D09"/>
    <w:rsid w:val="00B32F17"/>
    <w:rsid w:val="00B3340F"/>
    <w:rsid w:val="00B33477"/>
    <w:rsid w:val="00B3378D"/>
    <w:rsid w:val="00B3384F"/>
    <w:rsid w:val="00B33A62"/>
    <w:rsid w:val="00B33AE7"/>
    <w:rsid w:val="00B34239"/>
    <w:rsid w:val="00B343A8"/>
    <w:rsid w:val="00B343C9"/>
    <w:rsid w:val="00B34854"/>
    <w:rsid w:val="00B34859"/>
    <w:rsid w:val="00B3491C"/>
    <w:rsid w:val="00B349BE"/>
    <w:rsid w:val="00B349DD"/>
    <w:rsid w:val="00B34B1B"/>
    <w:rsid w:val="00B34DA1"/>
    <w:rsid w:val="00B34E30"/>
    <w:rsid w:val="00B34E69"/>
    <w:rsid w:val="00B35182"/>
    <w:rsid w:val="00B3554B"/>
    <w:rsid w:val="00B35650"/>
    <w:rsid w:val="00B357F5"/>
    <w:rsid w:val="00B35808"/>
    <w:rsid w:val="00B35842"/>
    <w:rsid w:val="00B35FD0"/>
    <w:rsid w:val="00B3607F"/>
    <w:rsid w:val="00B369FF"/>
    <w:rsid w:val="00B36C55"/>
    <w:rsid w:val="00B36CBA"/>
    <w:rsid w:val="00B36E18"/>
    <w:rsid w:val="00B3767A"/>
    <w:rsid w:val="00B378DF"/>
    <w:rsid w:val="00B37BF6"/>
    <w:rsid w:val="00B37CB3"/>
    <w:rsid w:val="00B37E2A"/>
    <w:rsid w:val="00B4005F"/>
    <w:rsid w:val="00B40184"/>
    <w:rsid w:val="00B4025D"/>
    <w:rsid w:val="00B402F7"/>
    <w:rsid w:val="00B40317"/>
    <w:rsid w:val="00B403E3"/>
    <w:rsid w:val="00B403F3"/>
    <w:rsid w:val="00B405A7"/>
    <w:rsid w:val="00B40700"/>
    <w:rsid w:val="00B4096D"/>
    <w:rsid w:val="00B4096F"/>
    <w:rsid w:val="00B40A0B"/>
    <w:rsid w:val="00B40AA4"/>
    <w:rsid w:val="00B412C9"/>
    <w:rsid w:val="00B41492"/>
    <w:rsid w:val="00B416E0"/>
    <w:rsid w:val="00B417DE"/>
    <w:rsid w:val="00B41B55"/>
    <w:rsid w:val="00B41CAC"/>
    <w:rsid w:val="00B41E6B"/>
    <w:rsid w:val="00B41FD7"/>
    <w:rsid w:val="00B42042"/>
    <w:rsid w:val="00B42099"/>
    <w:rsid w:val="00B42235"/>
    <w:rsid w:val="00B4243D"/>
    <w:rsid w:val="00B42938"/>
    <w:rsid w:val="00B42AB8"/>
    <w:rsid w:val="00B42BA2"/>
    <w:rsid w:val="00B42CCD"/>
    <w:rsid w:val="00B42D4D"/>
    <w:rsid w:val="00B42DB0"/>
    <w:rsid w:val="00B431B7"/>
    <w:rsid w:val="00B434BD"/>
    <w:rsid w:val="00B43970"/>
    <w:rsid w:val="00B43A73"/>
    <w:rsid w:val="00B440FF"/>
    <w:rsid w:val="00B4433F"/>
    <w:rsid w:val="00B44852"/>
    <w:rsid w:val="00B4559E"/>
    <w:rsid w:val="00B455FA"/>
    <w:rsid w:val="00B45F5B"/>
    <w:rsid w:val="00B45F64"/>
    <w:rsid w:val="00B45FC9"/>
    <w:rsid w:val="00B45FCD"/>
    <w:rsid w:val="00B45FD4"/>
    <w:rsid w:val="00B461E3"/>
    <w:rsid w:val="00B46339"/>
    <w:rsid w:val="00B46375"/>
    <w:rsid w:val="00B46391"/>
    <w:rsid w:val="00B4652B"/>
    <w:rsid w:val="00B46902"/>
    <w:rsid w:val="00B4699D"/>
    <w:rsid w:val="00B469A3"/>
    <w:rsid w:val="00B469BC"/>
    <w:rsid w:val="00B46C7B"/>
    <w:rsid w:val="00B46CA1"/>
    <w:rsid w:val="00B46DDB"/>
    <w:rsid w:val="00B46F0F"/>
    <w:rsid w:val="00B47328"/>
    <w:rsid w:val="00B47331"/>
    <w:rsid w:val="00B47338"/>
    <w:rsid w:val="00B4761A"/>
    <w:rsid w:val="00B47626"/>
    <w:rsid w:val="00B4763C"/>
    <w:rsid w:val="00B478B0"/>
    <w:rsid w:val="00B47A6E"/>
    <w:rsid w:val="00B47C50"/>
    <w:rsid w:val="00B47EE8"/>
    <w:rsid w:val="00B503CB"/>
    <w:rsid w:val="00B508E3"/>
    <w:rsid w:val="00B50B17"/>
    <w:rsid w:val="00B510FA"/>
    <w:rsid w:val="00B51EAA"/>
    <w:rsid w:val="00B52221"/>
    <w:rsid w:val="00B5229A"/>
    <w:rsid w:val="00B52375"/>
    <w:rsid w:val="00B525BB"/>
    <w:rsid w:val="00B52A4D"/>
    <w:rsid w:val="00B5303B"/>
    <w:rsid w:val="00B5310C"/>
    <w:rsid w:val="00B5314F"/>
    <w:rsid w:val="00B533FE"/>
    <w:rsid w:val="00B534A8"/>
    <w:rsid w:val="00B536F7"/>
    <w:rsid w:val="00B53D92"/>
    <w:rsid w:val="00B5417E"/>
    <w:rsid w:val="00B542E4"/>
    <w:rsid w:val="00B545ED"/>
    <w:rsid w:val="00B54605"/>
    <w:rsid w:val="00B54740"/>
    <w:rsid w:val="00B547B4"/>
    <w:rsid w:val="00B54A14"/>
    <w:rsid w:val="00B54A8E"/>
    <w:rsid w:val="00B54AAB"/>
    <w:rsid w:val="00B54B53"/>
    <w:rsid w:val="00B54BA7"/>
    <w:rsid w:val="00B54C42"/>
    <w:rsid w:val="00B55361"/>
    <w:rsid w:val="00B5550E"/>
    <w:rsid w:val="00B559FB"/>
    <w:rsid w:val="00B55AA3"/>
    <w:rsid w:val="00B55AD8"/>
    <w:rsid w:val="00B55D28"/>
    <w:rsid w:val="00B55DEC"/>
    <w:rsid w:val="00B560DE"/>
    <w:rsid w:val="00B56104"/>
    <w:rsid w:val="00B5633A"/>
    <w:rsid w:val="00B563E1"/>
    <w:rsid w:val="00B56447"/>
    <w:rsid w:val="00B5674B"/>
    <w:rsid w:val="00B56918"/>
    <w:rsid w:val="00B56B72"/>
    <w:rsid w:val="00B56EDC"/>
    <w:rsid w:val="00B56FC4"/>
    <w:rsid w:val="00B57201"/>
    <w:rsid w:val="00B57420"/>
    <w:rsid w:val="00B5749A"/>
    <w:rsid w:val="00B57592"/>
    <w:rsid w:val="00B579FE"/>
    <w:rsid w:val="00B57D31"/>
    <w:rsid w:val="00B60136"/>
    <w:rsid w:val="00B60498"/>
    <w:rsid w:val="00B6055C"/>
    <w:rsid w:val="00B60728"/>
    <w:rsid w:val="00B60762"/>
    <w:rsid w:val="00B60A6E"/>
    <w:rsid w:val="00B60B3C"/>
    <w:rsid w:val="00B60B88"/>
    <w:rsid w:val="00B60CA9"/>
    <w:rsid w:val="00B60D53"/>
    <w:rsid w:val="00B60DAE"/>
    <w:rsid w:val="00B60DE5"/>
    <w:rsid w:val="00B610BB"/>
    <w:rsid w:val="00B61248"/>
    <w:rsid w:val="00B61307"/>
    <w:rsid w:val="00B61915"/>
    <w:rsid w:val="00B61990"/>
    <w:rsid w:val="00B61B87"/>
    <w:rsid w:val="00B61D41"/>
    <w:rsid w:val="00B61DF4"/>
    <w:rsid w:val="00B62593"/>
    <w:rsid w:val="00B628CE"/>
    <w:rsid w:val="00B62AB9"/>
    <w:rsid w:val="00B62C8C"/>
    <w:rsid w:val="00B63138"/>
    <w:rsid w:val="00B63B24"/>
    <w:rsid w:val="00B63F80"/>
    <w:rsid w:val="00B640AE"/>
    <w:rsid w:val="00B6411C"/>
    <w:rsid w:val="00B6437C"/>
    <w:rsid w:val="00B644EB"/>
    <w:rsid w:val="00B64501"/>
    <w:rsid w:val="00B646A4"/>
    <w:rsid w:val="00B648C0"/>
    <w:rsid w:val="00B64B89"/>
    <w:rsid w:val="00B64BC9"/>
    <w:rsid w:val="00B64D1C"/>
    <w:rsid w:val="00B64D6A"/>
    <w:rsid w:val="00B65032"/>
    <w:rsid w:val="00B65862"/>
    <w:rsid w:val="00B65CAB"/>
    <w:rsid w:val="00B65CCE"/>
    <w:rsid w:val="00B65E25"/>
    <w:rsid w:val="00B66154"/>
    <w:rsid w:val="00B66399"/>
    <w:rsid w:val="00B663B5"/>
    <w:rsid w:val="00B66488"/>
    <w:rsid w:val="00B666E0"/>
    <w:rsid w:val="00B6676F"/>
    <w:rsid w:val="00B66AA5"/>
    <w:rsid w:val="00B66D20"/>
    <w:rsid w:val="00B66F53"/>
    <w:rsid w:val="00B67064"/>
    <w:rsid w:val="00B676D8"/>
    <w:rsid w:val="00B67754"/>
    <w:rsid w:val="00B6792F"/>
    <w:rsid w:val="00B67AAD"/>
    <w:rsid w:val="00B67BD4"/>
    <w:rsid w:val="00B67C5A"/>
    <w:rsid w:val="00B67CA3"/>
    <w:rsid w:val="00B67CEF"/>
    <w:rsid w:val="00B702C3"/>
    <w:rsid w:val="00B70529"/>
    <w:rsid w:val="00B709D5"/>
    <w:rsid w:val="00B70AC7"/>
    <w:rsid w:val="00B70BD2"/>
    <w:rsid w:val="00B70D37"/>
    <w:rsid w:val="00B70EAE"/>
    <w:rsid w:val="00B70FA9"/>
    <w:rsid w:val="00B711B0"/>
    <w:rsid w:val="00B7131E"/>
    <w:rsid w:val="00B7158E"/>
    <w:rsid w:val="00B71B57"/>
    <w:rsid w:val="00B71C8B"/>
    <w:rsid w:val="00B71F02"/>
    <w:rsid w:val="00B71FF4"/>
    <w:rsid w:val="00B720C0"/>
    <w:rsid w:val="00B7214D"/>
    <w:rsid w:val="00B72387"/>
    <w:rsid w:val="00B7299D"/>
    <w:rsid w:val="00B7305F"/>
    <w:rsid w:val="00B7308D"/>
    <w:rsid w:val="00B730CA"/>
    <w:rsid w:val="00B732BC"/>
    <w:rsid w:val="00B7383E"/>
    <w:rsid w:val="00B73BF1"/>
    <w:rsid w:val="00B73BFF"/>
    <w:rsid w:val="00B73E29"/>
    <w:rsid w:val="00B73FBB"/>
    <w:rsid w:val="00B74045"/>
    <w:rsid w:val="00B742CE"/>
    <w:rsid w:val="00B7450D"/>
    <w:rsid w:val="00B7460E"/>
    <w:rsid w:val="00B746DB"/>
    <w:rsid w:val="00B74D46"/>
    <w:rsid w:val="00B7500D"/>
    <w:rsid w:val="00B752AE"/>
    <w:rsid w:val="00B753FD"/>
    <w:rsid w:val="00B754A6"/>
    <w:rsid w:val="00B75849"/>
    <w:rsid w:val="00B75CC6"/>
    <w:rsid w:val="00B75F12"/>
    <w:rsid w:val="00B760D0"/>
    <w:rsid w:val="00B760D6"/>
    <w:rsid w:val="00B760D9"/>
    <w:rsid w:val="00B76157"/>
    <w:rsid w:val="00B76182"/>
    <w:rsid w:val="00B76284"/>
    <w:rsid w:val="00B7648D"/>
    <w:rsid w:val="00B76746"/>
    <w:rsid w:val="00B7675B"/>
    <w:rsid w:val="00B76888"/>
    <w:rsid w:val="00B76C58"/>
    <w:rsid w:val="00B76C76"/>
    <w:rsid w:val="00B76F99"/>
    <w:rsid w:val="00B7734B"/>
    <w:rsid w:val="00B777D9"/>
    <w:rsid w:val="00B7785D"/>
    <w:rsid w:val="00B778F8"/>
    <w:rsid w:val="00B77A71"/>
    <w:rsid w:val="00B77ABB"/>
    <w:rsid w:val="00B77DCF"/>
    <w:rsid w:val="00B77E86"/>
    <w:rsid w:val="00B77F38"/>
    <w:rsid w:val="00B77F90"/>
    <w:rsid w:val="00B800CA"/>
    <w:rsid w:val="00B80121"/>
    <w:rsid w:val="00B802C9"/>
    <w:rsid w:val="00B805D6"/>
    <w:rsid w:val="00B808FB"/>
    <w:rsid w:val="00B809CE"/>
    <w:rsid w:val="00B80D26"/>
    <w:rsid w:val="00B8117D"/>
    <w:rsid w:val="00B818DA"/>
    <w:rsid w:val="00B81BB0"/>
    <w:rsid w:val="00B81C20"/>
    <w:rsid w:val="00B82057"/>
    <w:rsid w:val="00B821EF"/>
    <w:rsid w:val="00B8261D"/>
    <w:rsid w:val="00B82ADC"/>
    <w:rsid w:val="00B82B5C"/>
    <w:rsid w:val="00B82C45"/>
    <w:rsid w:val="00B82F00"/>
    <w:rsid w:val="00B83070"/>
    <w:rsid w:val="00B83104"/>
    <w:rsid w:val="00B83144"/>
    <w:rsid w:val="00B832CC"/>
    <w:rsid w:val="00B8339C"/>
    <w:rsid w:val="00B83591"/>
    <w:rsid w:val="00B8380A"/>
    <w:rsid w:val="00B8395F"/>
    <w:rsid w:val="00B83C55"/>
    <w:rsid w:val="00B83C7D"/>
    <w:rsid w:val="00B83DDF"/>
    <w:rsid w:val="00B83E27"/>
    <w:rsid w:val="00B83F82"/>
    <w:rsid w:val="00B840DC"/>
    <w:rsid w:val="00B8411D"/>
    <w:rsid w:val="00B845C0"/>
    <w:rsid w:val="00B84953"/>
    <w:rsid w:val="00B84C5F"/>
    <w:rsid w:val="00B84D74"/>
    <w:rsid w:val="00B84E75"/>
    <w:rsid w:val="00B85048"/>
    <w:rsid w:val="00B854F3"/>
    <w:rsid w:val="00B856CB"/>
    <w:rsid w:val="00B85E4A"/>
    <w:rsid w:val="00B85EBE"/>
    <w:rsid w:val="00B861A1"/>
    <w:rsid w:val="00B8650B"/>
    <w:rsid w:val="00B868FC"/>
    <w:rsid w:val="00B86AF7"/>
    <w:rsid w:val="00B86B8C"/>
    <w:rsid w:val="00B86E35"/>
    <w:rsid w:val="00B87290"/>
    <w:rsid w:val="00B8745F"/>
    <w:rsid w:val="00B8773A"/>
    <w:rsid w:val="00B87858"/>
    <w:rsid w:val="00B878DA"/>
    <w:rsid w:val="00B87A82"/>
    <w:rsid w:val="00B87BDA"/>
    <w:rsid w:val="00B87D09"/>
    <w:rsid w:val="00B87D4A"/>
    <w:rsid w:val="00B90199"/>
    <w:rsid w:val="00B90B2E"/>
    <w:rsid w:val="00B90C86"/>
    <w:rsid w:val="00B90EAE"/>
    <w:rsid w:val="00B910B6"/>
    <w:rsid w:val="00B912DC"/>
    <w:rsid w:val="00B91439"/>
    <w:rsid w:val="00B91578"/>
    <w:rsid w:val="00B915BF"/>
    <w:rsid w:val="00B91819"/>
    <w:rsid w:val="00B9183B"/>
    <w:rsid w:val="00B91C12"/>
    <w:rsid w:val="00B91C4E"/>
    <w:rsid w:val="00B92141"/>
    <w:rsid w:val="00B921B3"/>
    <w:rsid w:val="00B92246"/>
    <w:rsid w:val="00B9251C"/>
    <w:rsid w:val="00B92AF5"/>
    <w:rsid w:val="00B92B68"/>
    <w:rsid w:val="00B92FAE"/>
    <w:rsid w:val="00B9326E"/>
    <w:rsid w:val="00B93531"/>
    <w:rsid w:val="00B93D4D"/>
    <w:rsid w:val="00B9402A"/>
    <w:rsid w:val="00B9426B"/>
    <w:rsid w:val="00B943FF"/>
    <w:rsid w:val="00B945DC"/>
    <w:rsid w:val="00B948A7"/>
    <w:rsid w:val="00B94A8C"/>
    <w:rsid w:val="00B95220"/>
    <w:rsid w:val="00B95508"/>
    <w:rsid w:val="00B95937"/>
    <w:rsid w:val="00B95A0D"/>
    <w:rsid w:val="00B95E4E"/>
    <w:rsid w:val="00B95EA5"/>
    <w:rsid w:val="00B95F67"/>
    <w:rsid w:val="00B95FA5"/>
    <w:rsid w:val="00B961CB"/>
    <w:rsid w:val="00B96780"/>
    <w:rsid w:val="00B967DC"/>
    <w:rsid w:val="00B96F36"/>
    <w:rsid w:val="00B973B6"/>
    <w:rsid w:val="00B97432"/>
    <w:rsid w:val="00B97471"/>
    <w:rsid w:val="00B976DD"/>
    <w:rsid w:val="00BA028D"/>
    <w:rsid w:val="00BA0723"/>
    <w:rsid w:val="00BA0737"/>
    <w:rsid w:val="00BA0814"/>
    <w:rsid w:val="00BA0B68"/>
    <w:rsid w:val="00BA0DBE"/>
    <w:rsid w:val="00BA1591"/>
    <w:rsid w:val="00BA17C3"/>
    <w:rsid w:val="00BA1857"/>
    <w:rsid w:val="00BA185D"/>
    <w:rsid w:val="00BA197D"/>
    <w:rsid w:val="00BA1F0C"/>
    <w:rsid w:val="00BA228B"/>
    <w:rsid w:val="00BA2396"/>
    <w:rsid w:val="00BA2521"/>
    <w:rsid w:val="00BA2A41"/>
    <w:rsid w:val="00BA2B1E"/>
    <w:rsid w:val="00BA2B34"/>
    <w:rsid w:val="00BA2BC7"/>
    <w:rsid w:val="00BA2C46"/>
    <w:rsid w:val="00BA2E2D"/>
    <w:rsid w:val="00BA2F9C"/>
    <w:rsid w:val="00BA332D"/>
    <w:rsid w:val="00BA35A2"/>
    <w:rsid w:val="00BA375F"/>
    <w:rsid w:val="00BA3C24"/>
    <w:rsid w:val="00BA3DA1"/>
    <w:rsid w:val="00BA4060"/>
    <w:rsid w:val="00BA4703"/>
    <w:rsid w:val="00BA49DD"/>
    <w:rsid w:val="00BA4FB7"/>
    <w:rsid w:val="00BA53DB"/>
    <w:rsid w:val="00BA5623"/>
    <w:rsid w:val="00BA5693"/>
    <w:rsid w:val="00BA5957"/>
    <w:rsid w:val="00BA5B03"/>
    <w:rsid w:val="00BA5D93"/>
    <w:rsid w:val="00BA698E"/>
    <w:rsid w:val="00BA6C5E"/>
    <w:rsid w:val="00BA6D99"/>
    <w:rsid w:val="00BA6E9F"/>
    <w:rsid w:val="00BA6ECA"/>
    <w:rsid w:val="00BA723A"/>
    <w:rsid w:val="00BA772C"/>
    <w:rsid w:val="00BA7A00"/>
    <w:rsid w:val="00BA7AB7"/>
    <w:rsid w:val="00BB058F"/>
    <w:rsid w:val="00BB0655"/>
    <w:rsid w:val="00BB0D1A"/>
    <w:rsid w:val="00BB0DFC"/>
    <w:rsid w:val="00BB1140"/>
    <w:rsid w:val="00BB1178"/>
    <w:rsid w:val="00BB1433"/>
    <w:rsid w:val="00BB1641"/>
    <w:rsid w:val="00BB1768"/>
    <w:rsid w:val="00BB17F1"/>
    <w:rsid w:val="00BB1A3D"/>
    <w:rsid w:val="00BB1C7D"/>
    <w:rsid w:val="00BB1EEF"/>
    <w:rsid w:val="00BB2014"/>
    <w:rsid w:val="00BB20F6"/>
    <w:rsid w:val="00BB2424"/>
    <w:rsid w:val="00BB25A2"/>
    <w:rsid w:val="00BB25C2"/>
    <w:rsid w:val="00BB273B"/>
    <w:rsid w:val="00BB277F"/>
    <w:rsid w:val="00BB288D"/>
    <w:rsid w:val="00BB2C1B"/>
    <w:rsid w:val="00BB2D2C"/>
    <w:rsid w:val="00BB2DFC"/>
    <w:rsid w:val="00BB2EDE"/>
    <w:rsid w:val="00BB3DED"/>
    <w:rsid w:val="00BB3E2F"/>
    <w:rsid w:val="00BB3E30"/>
    <w:rsid w:val="00BB40FD"/>
    <w:rsid w:val="00BB44CC"/>
    <w:rsid w:val="00BB44CF"/>
    <w:rsid w:val="00BB4513"/>
    <w:rsid w:val="00BB4D84"/>
    <w:rsid w:val="00BB53A1"/>
    <w:rsid w:val="00BB57F8"/>
    <w:rsid w:val="00BB59A1"/>
    <w:rsid w:val="00BB59C1"/>
    <w:rsid w:val="00BB5B1A"/>
    <w:rsid w:val="00BB5CC2"/>
    <w:rsid w:val="00BB5CF7"/>
    <w:rsid w:val="00BB5E35"/>
    <w:rsid w:val="00BB5F8A"/>
    <w:rsid w:val="00BB5FEF"/>
    <w:rsid w:val="00BB6050"/>
    <w:rsid w:val="00BB632E"/>
    <w:rsid w:val="00BB63A6"/>
    <w:rsid w:val="00BB6891"/>
    <w:rsid w:val="00BB6A43"/>
    <w:rsid w:val="00BB6A7A"/>
    <w:rsid w:val="00BB6BB3"/>
    <w:rsid w:val="00BB6CC9"/>
    <w:rsid w:val="00BB6CF5"/>
    <w:rsid w:val="00BB6EFA"/>
    <w:rsid w:val="00BB71C5"/>
    <w:rsid w:val="00BB7444"/>
    <w:rsid w:val="00BB74ED"/>
    <w:rsid w:val="00BB767D"/>
    <w:rsid w:val="00BB78DA"/>
    <w:rsid w:val="00BB7DB1"/>
    <w:rsid w:val="00BB7E66"/>
    <w:rsid w:val="00BB7FC4"/>
    <w:rsid w:val="00BC0028"/>
    <w:rsid w:val="00BC04AF"/>
    <w:rsid w:val="00BC06BB"/>
    <w:rsid w:val="00BC06FF"/>
    <w:rsid w:val="00BC07C5"/>
    <w:rsid w:val="00BC0983"/>
    <w:rsid w:val="00BC0BBE"/>
    <w:rsid w:val="00BC0E8C"/>
    <w:rsid w:val="00BC1099"/>
    <w:rsid w:val="00BC11B8"/>
    <w:rsid w:val="00BC13C2"/>
    <w:rsid w:val="00BC169D"/>
    <w:rsid w:val="00BC1A07"/>
    <w:rsid w:val="00BC1A95"/>
    <w:rsid w:val="00BC1C5C"/>
    <w:rsid w:val="00BC1EB6"/>
    <w:rsid w:val="00BC20CB"/>
    <w:rsid w:val="00BC2237"/>
    <w:rsid w:val="00BC2328"/>
    <w:rsid w:val="00BC256D"/>
    <w:rsid w:val="00BC28EA"/>
    <w:rsid w:val="00BC2B31"/>
    <w:rsid w:val="00BC2BC6"/>
    <w:rsid w:val="00BC30E0"/>
    <w:rsid w:val="00BC320A"/>
    <w:rsid w:val="00BC329F"/>
    <w:rsid w:val="00BC3327"/>
    <w:rsid w:val="00BC34A3"/>
    <w:rsid w:val="00BC34E0"/>
    <w:rsid w:val="00BC353F"/>
    <w:rsid w:val="00BC3556"/>
    <w:rsid w:val="00BC3935"/>
    <w:rsid w:val="00BC4086"/>
    <w:rsid w:val="00BC4248"/>
    <w:rsid w:val="00BC44D6"/>
    <w:rsid w:val="00BC4A21"/>
    <w:rsid w:val="00BC4C35"/>
    <w:rsid w:val="00BC4EE5"/>
    <w:rsid w:val="00BC5007"/>
    <w:rsid w:val="00BC513C"/>
    <w:rsid w:val="00BC537C"/>
    <w:rsid w:val="00BC56A5"/>
    <w:rsid w:val="00BC5905"/>
    <w:rsid w:val="00BC5C0A"/>
    <w:rsid w:val="00BC5CA0"/>
    <w:rsid w:val="00BC5D1A"/>
    <w:rsid w:val="00BC6114"/>
    <w:rsid w:val="00BC61FC"/>
    <w:rsid w:val="00BC624D"/>
    <w:rsid w:val="00BC6339"/>
    <w:rsid w:val="00BC6782"/>
    <w:rsid w:val="00BC6867"/>
    <w:rsid w:val="00BC6990"/>
    <w:rsid w:val="00BC69B4"/>
    <w:rsid w:val="00BC69FC"/>
    <w:rsid w:val="00BC6DEF"/>
    <w:rsid w:val="00BC75EA"/>
    <w:rsid w:val="00BC7671"/>
    <w:rsid w:val="00BC76D0"/>
    <w:rsid w:val="00BC77DF"/>
    <w:rsid w:val="00BC780E"/>
    <w:rsid w:val="00BC7AFC"/>
    <w:rsid w:val="00BD000D"/>
    <w:rsid w:val="00BD03B7"/>
    <w:rsid w:val="00BD0664"/>
    <w:rsid w:val="00BD0827"/>
    <w:rsid w:val="00BD0927"/>
    <w:rsid w:val="00BD0C8F"/>
    <w:rsid w:val="00BD0D42"/>
    <w:rsid w:val="00BD0F92"/>
    <w:rsid w:val="00BD1610"/>
    <w:rsid w:val="00BD1999"/>
    <w:rsid w:val="00BD19E7"/>
    <w:rsid w:val="00BD1B28"/>
    <w:rsid w:val="00BD2553"/>
    <w:rsid w:val="00BD2642"/>
    <w:rsid w:val="00BD2678"/>
    <w:rsid w:val="00BD27C9"/>
    <w:rsid w:val="00BD2929"/>
    <w:rsid w:val="00BD29F0"/>
    <w:rsid w:val="00BD2A6E"/>
    <w:rsid w:val="00BD2D0E"/>
    <w:rsid w:val="00BD3C50"/>
    <w:rsid w:val="00BD3DEB"/>
    <w:rsid w:val="00BD428A"/>
    <w:rsid w:val="00BD42E7"/>
    <w:rsid w:val="00BD4373"/>
    <w:rsid w:val="00BD43A8"/>
    <w:rsid w:val="00BD459E"/>
    <w:rsid w:val="00BD460A"/>
    <w:rsid w:val="00BD482E"/>
    <w:rsid w:val="00BD4979"/>
    <w:rsid w:val="00BD4C33"/>
    <w:rsid w:val="00BD4D0E"/>
    <w:rsid w:val="00BD4D69"/>
    <w:rsid w:val="00BD564F"/>
    <w:rsid w:val="00BD5671"/>
    <w:rsid w:val="00BD5A93"/>
    <w:rsid w:val="00BD5C33"/>
    <w:rsid w:val="00BD631D"/>
    <w:rsid w:val="00BD6C2C"/>
    <w:rsid w:val="00BD6CA9"/>
    <w:rsid w:val="00BD6F27"/>
    <w:rsid w:val="00BD72DF"/>
    <w:rsid w:val="00BD741A"/>
    <w:rsid w:val="00BD76BC"/>
    <w:rsid w:val="00BD78BF"/>
    <w:rsid w:val="00BD7BF4"/>
    <w:rsid w:val="00BE0040"/>
    <w:rsid w:val="00BE03E5"/>
    <w:rsid w:val="00BE0447"/>
    <w:rsid w:val="00BE060B"/>
    <w:rsid w:val="00BE067B"/>
    <w:rsid w:val="00BE092C"/>
    <w:rsid w:val="00BE0B14"/>
    <w:rsid w:val="00BE0CEA"/>
    <w:rsid w:val="00BE0E6C"/>
    <w:rsid w:val="00BE0F65"/>
    <w:rsid w:val="00BE0FB7"/>
    <w:rsid w:val="00BE14BD"/>
    <w:rsid w:val="00BE151E"/>
    <w:rsid w:val="00BE16D7"/>
    <w:rsid w:val="00BE1728"/>
    <w:rsid w:val="00BE195E"/>
    <w:rsid w:val="00BE1A60"/>
    <w:rsid w:val="00BE1AA9"/>
    <w:rsid w:val="00BE1FF9"/>
    <w:rsid w:val="00BE202D"/>
    <w:rsid w:val="00BE2136"/>
    <w:rsid w:val="00BE233D"/>
    <w:rsid w:val="00BE270D"/>
    <w:rsid w:val="00BE28D3"/>
    <w:rsid w:val="00BE2BDA"/>
    <w:rsid w:val="00BE2F77"/>
    <w:rsid w:val="00BE2FAD"/>
    <w:rsid w:val="00BE326E"/>
    <w:rsid w:val="00BE3629"/>
    <w:rsid w:val="00BE38E0"/>
    <w:rsid w:val="00BE3962"/>
    <w:rsid w:val="00BE3989"/>
    <w:rsid w:val="00BE3992"/>
    <w:rsid w:val="00BE39F6"/>
    <w:rsid w:val="00BE3E42"/>
    <w:rsid w:val="00BE404F"/>
    <w:rsid w:val="00BE418D"/>
    <w:rsid w:val="00BE43CA"/>
    <w:rsid w:val="00BE43E9"/>
    <w:rsid w:val="00BE4619"/>
    <w:rsid w:val="00BE4771"/>
    <w:rsid w:val="00BE4A74"/>
    <w:rsid w:val="00BE4E5E"/>
    <w:rsid w:val="00BE4E74"/>
    <w:rsid w:val="00BE4F8D"/>
    <w:rsid w:val="00BE51C7"/>
    <w:rsid w:val="00BE5284"/>
    <w:rsid w:val="00BE5301"/>
    <w:rsid w:val="00BE530F"/>
    <w:rsid w:val="00BE53C3"/>
    <w:rsid w:val="00BE5431"/>
    <w:rsid w:val="00BE57BA"/>
    <w:rsid w:val="00BE5842"/>
    <w:rsid w:val="00BE585B"/>
    <w:rsid w:val="00BE5878"/>
    <w:rsid w:val="00BE58CB"/>
    <w:rsid w:val="00BE5D4F"/>
    <w:rsid w:val="00BE5E7A"/>
    <w:rsid w:val="00BE6516"/>
    <w:rsid w:val="00BE65D6"/>
    <w:rsid w:val="00BE67B4"/>
    <w:rsid w:val="00BE69A0"/>
    <w:rsid w:val="00BE6A99"/>
    <w:rsid w:val="00BE6D70"/>
    <w:rsid w:val="00BE736A"/>
    <w:rsid w:val="00BE7520"/>
    <w:rsid w:val="00BE7523"/>
    <w:rsid w:val="00BE7D55"/>
    <w:rsid w:val="00BF00A9"/>
    <w:rsid w:val="00BF01EE"/>
    <w:rsid w:val="00BF03AD"/>
    <w:rsid w:val="00BF04C4"/>
    <w:rsid w:val="00BF053F"/>
    <w:rsid w:val="00BF0A1A"/>
    <w:rsid w:val="00BF0B36"/>
    <w:rsid w:val="00BF0D3B"/>
    <w:rsid w:val="00BF12B8"/>
    <w:rsid w:val="00BF132F"/>
    <w:rsid w:val="00BF19BC"/>
    <w:rsid w:val="00BF1A39"/>
    <w:rsid w:val="00BF1C34"/>
    <w:rsid w:val="00BF1D3B"/>
    <w:rsid w:val="00BF22B0"/>
    <w:rsid w:val="00BF22CA"/>
    <w:rsid w:val="00BF22D1"/>
    <w:rsid w:val="00BF2656"/>
    <w:rsid w:val="00BF280C"/>
    <w:rsid w:val="00BF2E7D"/>
    <w:rsid w:val="00BF357B"/>
    <w:rsid w:val="00BF36F0"/>
    <w:rsid w:val="00BF3703"/>
    <w:rsid w:val="00BF3CE8"/>
    <w:rsid w:val="00BF3F04"/>
    <w:rsid w:val="00BF415A"/>
    <w:rsid w:val="00BF44F6"/>
    <w:rsid w:val="00BF456C"/>
    <w:rsid w:val="00BF45F3"/>
    <w:rsid w:val="00BF4EBA"/>
    <w:rsid w:val="00BF5383"/>
    <w:rsid w:val="00BF53E7"/>
    <w:rsid w:val="00BF5A51"/>
    <w:rsid w:val="00BF5C8B"/>
    <w:rsid w:val="00BF5DB1"/>
    <w:rsid w:val="00BF5EED"/>
    <w:rsid w:val="00BF6022"/>
    <w:rsid w:val="00BF6418"/>
    <w:rsid w:val="00BF64EA"/>
    <w:rsid w:val="00BF6804"/>
    <w:rsid w:val="00BF682D"/>
    <w:rsid w:val="00BF6879"/>
    <w:rsid w:val="00BF68FF"/>
    <w:rsid w:val="00BF69E7"/>
    <w:rsid w:val="00BF6A68"/>
    <w:rsid w:val="00BF6C22"/>
    <w:rsid w:val="00BF6E0B"/>
    <w:rsid w:val="00BF72B1"/>
    <w:rsid w:val="00BF72D1"/>
    <w:rsid w:val="00BF7690"/>
    <w:rsid w:val="00BF78C5"/>
    <w:rsid w:val="00BF7C42"/>
    <w:rsid w:val="00BF7F5F"/>
    <w:rsid w:val="00BF7FB9"/>
    <w:rsid w:val="00C001FF"/>
    <w:rsid w:val="00C002E7"/>
    <w:rsid w:val="00C007A4"/>
    <w:rsid w:val="00C00826"/>
    <w:rsid w:val="00C0090A"/>
    <w:rsid w:val="00C0094A"/>
    <w:rsid w:val="00C009AD"/>
    <w:rsid w:val="00C00B72"/>
    <w:rsid w:val="00C01014"/>
    <w:rsid w:val="00C011C6"/>
    <w:rsid w:val="00C01377"/>
    <w:rsid w:val="00C01836"/>
    <w:rsid w:val="00C018A7"/>
    <w:rsid w:val="00C019DB"/>
    <w:rsid w:val="00C02829"/>
    <w:rsid w:val="00C02976"/>
    <w:rsid w:val="00C02BBD"/>
    <w:rsid w:val="00C03233"/>
    <w:rsid w:val="00C033C0"/>
    <w:rsid w:val="00C03429"/>
    <w:rsid w:val="00C03469"/>
    <w:rsid w:val="00C034F7"/>
    <w:rsid w:val="00C036AC"/>
    <w:rsid w:val="00C03893"/>
    <w:rsid w:val="00C03AF2"/>
    <w:rsid w:val="00C03B10"/>
    <w:rsid w:val="00C03BCB"/>
    <w:rsid w:val="00C04437"/>
    <w:rsid w:val="00C045FC"/>
    <w:rsid w:val="00C04CF2"/>
    <w:rsid w:val="00C04D6F"/>
    <w:rsid w:val="00C04E37"/>
    <w:rsid w:val="00C05370"/>
    <w:rsid w:val="00C053DC"/>
    <w:rsid w:val="00C0573D"/>
    <w:rsid w:val="00C059D5"/>
    <w:rsid w:val="00C05D91"/>
    <w:rsid w:val="00C06305"/>
    <w:rsid w:val="00C0642F"/>
    <w:rsid w:val="00C0646D"/>
    <w:rsid w:val="00C06697"/>
    <w:rsid w:val="00C06712"/>
    <w:rsid w:val="00C06892"/>
    <w:rsid w:val="00C06954"/>
    <w:rsid w:val="00C06F04"/>
    <w:rsid w:val="00C06FE6"/>
    <w:rsid w:val="00C072BA"/>
    <w:rsid w:val="00C072E5"/>
    <w:rsid w:val="00C07381"/>
    <w:rsid w:val="00C07643"/>
    <w:rsid w:val="00C07CF0"/>
    <w:rsid w:val="00C101F8"/>
    <w:rsid w:val="00C10599"/>
    <w:rsid w:val="00C10673"/>
    <w:rsid w:val="00C1090C"/>
    <w:rsid w:val="00C10957"/>
    <w:rsid w:val="00C109D4"/>
    <w:rsid w:val="00C10E24"/>
    <w:rsid w:val="00C10EA4"/>
    <w:rsid w:val="00C10F5D"/>
    <w:rsid w:val="00C10F95"/>
    <w:rsid w:val="00C1126D"/>
    <w:rsid w:val="00C1133C"/>
    <w:rsid w:val="00C113FE"/>
    <w:rsid w:val="00C11495"/>
    <w:rsid w:val="00C116AE"/>
    <w:rsid w:val="00C11964"/>
    <w:rsid w:val="00C11A31"/>
    <w:rsid w:val="00C123CF"/>
    <w:rsid w:val="00C127D5"/>
    <w:rsid w:val="00C129C5"/>
    <w:rsid w:val="00C12B6A"/>
    <w:rsid w:val="00C12F8C"/>
    <w:rsid w:val="00C135EC"/>
    <w:rsid w:val="00C137C5"/>
    <w:rsid w:val="00C13902"/>
    <w:rsid w:val="00C13988"/>
    <w:rsid w:val="00C13C04"/>
    <w:rsid w:val="00C141CC"/>
    <w:rsid w:val="00C14221"/>
    <w:rsid w:val="00C143B1"/>
    <w:rsid w:val="00C144C4"/>
    <w:rsid w:val="00C145AD"/>
    <w:rsid w:val="00C147C6"/>
    <w:rsid w:val="00C147FA"/>
    <w:rsid w:val="00C14A29"/>
    <w:rsid w:val="00C14B52"/>
    <w:rsid w:val="00C14D42"/>
    <w:rsid w:val="00C1507E"/>
    <w:rsid w:val="00C157B1"/>
    <w:rsid w:val="00C15C28"/>
    <w:rsid w:val="00C15CD6"/>
    <w:rsid w:val="00C15D21"/>
    <w:rsid w:val="00C15FE0"/>
    <w:rsid w:val="00C16539"/>
    <w:rsid w:val="00C168D3"/>
    <w:rsid w:val="00C172AF"/>
    <w:rsid w:val="00C173CB"/>
    <w:rsid w:val="00C1777C"/>
    <w:rsid w:val="00C17917"/>
    <w:rsid w:val="00C179A2"/>
    <w:rsid w:val="00C179C3"/>
    <w:rsid w:val="00C17ACB"/>
    <w:rsid w:val="00C17B5A"/>
    <w:rsid w:val="00C17CF2"/>
    <w:rsid w:val="00C17E67"/>
    <w:rsid w:val="00C17FB3"/>
    <w:rsid w:val="00C17FBF"/>
    <w:rsid w:val="00C200A8"/>
    <w:rsid w:val="00C20385"/>
    <w:rsid w:val="00C20524"/>
    <w:rsid w:val="00C20842"/>
    <w:rsid w:val="00C20B94"/>
    <w:rsid w:val="00C20BE4"/>
    <w:rsid w:val="00C21494"/>
    <w:rsid w:val="00C214E4"/>
    <w:rsid w:val="00C2153B"/>
    <w:rsid w:val="00C217F7"/>
    <w:rsid w:val="00C21CA0"/>
    <w:rsid w:val="00C21F55"/>
    <w:rsid w:val="00C225B8"/>
    <w:rsid w:val="00C22841"/>
    <w:rsid w:val="00C228A8"/>
    <w:rsid w:val="00C22919"/>
    <w:rsid w:val="00C22CBD"/>
    <w:rsid w:val="00C22D39"/>
    <w:rsid w:val="00C23109"/>
    <w:rsid w:val="00C2318E"/>
    <w:rsid w:val="00C232BC"/>
    <w:rsid w:val="00C23323"/>
    <w:rsid w:val="00C23C75"/>
    <w:rsid w:val="00C23FB2"/>
    <w:rsid w:val="00C2451D"/>
    <w:rsid w:val="00C245ED"/>
    <w:rsid w:val="00C247AA"/>
    <w:rsid w:val="00C249C2"/>
    <w:rsid w:val="00C249F6"/>
    <w:rsid w:val="00C24D6A"/>
    <w:rsid w:val="00C24ED3"/>
    <w:rsid w:val="00C24FC1"/>
    <w:rsid w:val="00C25072"/>
    <w:rsid w:val="00C250F7"/>
    <w:rsid w:val="00C25388"/>
    <w:rsid w:val="00C258B8"/>
    <w:rsid w:val="00C25B9B"/>
    <w:rsid w:val="00C25D9F"/>
    <w:rsid w:val="00C26222"/>
    <w:rsid w:val="00C26366"/>
    <w:rsid w:val="00C263A9"/>
    <w:rsid w:val="00C26437"/>
    <w:rsid w:val="00C26500"/>
    <w:rsid w:val="00C2692E"/>
    <w:rsid w:val="00C27321"/>
    <w:rsid w:val="00C27370"/>
    <w:rsid w:val="00C274D8"/>
    <w:rsid w:val="00C27657"/>
    <w:rsid w:val="00C27B4F"/>
    <w:rsid w:val="00C27E87"/>
    <w:rsid w:val="00C303DA"/>
    <w:rsid w:val="00C30456"/>
    <w:rsid w:val="00C30800"/>
    <w:rsid w:val="00C30B7A"/>
    <w:rsid w:val="00C30D37"/>
    <w:rsid w:val="00C30FDF"/>
    <w:rsid w:val="00C3107C"/>
    <w:rsid w:val="00C315F7"/>
    <w:rsid w:val="00C31CC4"/>
    <w:rsid w:val="00C32177"/>
    <w:rsid w:val="00C32543"/>
    <w:rsid w:val="00C32E8E"/>
    <w:rsid w:val="00C32ED7"/>
    <w:rsid w:val="00C32F3E"/>
    <w:rsid w:val="00C330E7"/>
    <w:rsid w:val="00C331A1"/>
    <w:rsid w:val="00C33304"/>
    <w:rsid w:val="00C33474"/>
    <w:rsid w:val="00C33478"/>
    <w:rsid w:val="00C33490"/>
    <w:rsid w:val="00C3350B"/>
    <w:rsid w:val="00C335B7"/>
    <w:rsid w:val="00C3370D"/>
    <w:rsid w:val="00C33B4E"/>
    <w:rsid w:val="00C33BC0"/>
    <w:rsid w:val="00C33E08"/>
    <w:rsid w:val="00C345BA"/>
    <w:rsid w:val="00C34CC6"/>
    <w:rsid w:val="00C34D5D"/>
    <w:rsid w:val="00C34ED9"/>
    <w:rsid w:val="00C34F08"/>
    <w:rsid w:val="00C35041"/>
    <w:rsid w:val="00C356B3"/>
    <w:rsid w:val="00C357B0"/>
    <w:rsid w:val="00C35D5A"/>
    <w:rsid w:val="00C36079"/>
    <w:rsid w:val="00C361EE"/>
    <w:rsid w:val="00C362B1"/>
    <w:rsid w:val="00C366C0"/>
    <w:rsid w:val="00C368CF"/>
    <w:rsid w:val="00C36AA7"/>
    <w:rsid w:val="00C36EF1"/>
    <w:rsid w:val="00C372E1"/>
    <w:rsid w:val="00C378A9"/>
    <w:rsid w:val="00C37A36"/>
    <w:rsid w:val="00C37A83"/>
    <w:rsid w:val="00C37C05"/>
    <w:rsid w:val="00C403E0"/>
    <w:rsid w:val="00C4057A"/>
    <w:rsid w:val="00C40610"/>
    <w:rsid w:val="00C40CE5"/>
    <w:rsid w:val="00C40DF3"/>
    <w:rsid w:val="00C40F87"/>
    <w:rsid w:val="00C40FC6"/>
    <w:rsid w:val="00C41113"/>
    <w:rsid w:val="00C41273"/>
    <w:rsid w:val="00C41514"/>
    <w:rsid w:val="00C41A5C"/>
    <w:rsid w:val="00C41B9F"/>
    <w:rsid w:val="00C41D2B"/>
    <w:rsid w:val="00C41FC8"/>
    <w:rsid w:val="00C421F0"/>
    <w:rsid w:val="00C4285B"/>
    <w:rsid w:val="00C42941"/>
    <w:rsid w:val="00C42DE4"/>
    <w:rsid w:val="00C42FD0"/>
    <w:rsid w:val="00C43317"/>
    <w:rsid w:val="00C43938"/>
    <w:rsid w:val="00C4425C"/>
    <w:rsid w:val="00C4443A"/>
    <w:rsid w:val="00C44755"/>
    <w:rsid w:val="00C447D2"/>
    <w:rsid w:val="00C44A8D"/>
    <w:rsid w:val="00C44C60"/>
    <w:rsid w:val="00C44DCB"/>
    <w:rsid w:val="00C44F0A"/>
    <w:rsid w:val="00C44FF6"/>
    <w:rsid w:val="00C4508F"/>
    <w:rsid w:val="00C45119"/>
    <w:rsid w:val="00C45250"/>
    <w:rsid w:val="00C4531D"/>
    <w:rsid w:val="00C4568E"/>
    <w:rsid w:val="00C45DA1"/>
    <w:rsid w:val="00C45F61"/>
    <w:rsid w:val="00C462D2"/>
    <w:rsid w:val="00C46912"/>
    <w:rsid w:val="00C4698F"/>
    <w:rsid w:val="00C46A7D"/>
    <w:rsid w:val="00C46E0C"/>
    <w:rsid w:val="00C4749E"/>
    <w:rsid w:val="00C474AC"/>
    <w:rsid w:val="00C47705"/>
    <w:rsid w:val="00C47DF0"/>
    <w:rsid w:val="00C47ECB"/>
    <w:rsid w:val="00C47F32"/>
    <w:rsid w:val="00C50197"/>
    <w:rsid w:val="00C5051B"/>
    <w:rsid w:val="00C5061F"/>
    <w:rsid w:val="00C5066B"/>
    <w:rsid w:val="00C507E5"/>
    <w:rsid w:val="00C50912"/>
    <w:rsid w:val="00C50AF1"/>
    <w:rsid w:val="00C50EAE"/>
    <w:rsid w:val="00C50EBA"/>
    <w:rsid w:val="00C50F3C"/>
    <w:rsid w:val="00C50FC4"/>
    <w:rsid w:val="00C50FFB"/>
    <w:rsid w:val="00C51049"/>
    <w:rsid w:val="00C51267"/>
    <w:rsid w:val="00C514BB"/>
    <w:rsid w:val="00C5174B"/>
    <w:rsid w:val="00C5226F"/>
    <w:rsid w:val="00C5229D"/>
    <w:rsid w:val="00C52452"/>
    <w:rsid w:val="00C52673"/>
    <w:rsid w:val="00C52A42"/>
    <w:rsid w:val="00C52B60"/>
    <w:rsid w:val="00C52E7E"/>
    <w:rsid w:val="00C52E9F"/>
    <w:rsid w:val="00C52FB1"/>
    <w:rsid w:val="00C53033"/>
    <w:rsid w:val="00C53172"/>
    <w:rsid w:val="00C5323B"/>
    <w:rsid w:val="00C532E8"/>
    <w:rsid w:val="00C535EB"/>
    <w:rsid w:val="00C53644"/>
    <w:rsid w:val="00C537D9"/>
    <w:rsid w:val="00C53A96"/>
    <w:rsid w:val="00C53B15"/>
    <w:rsid w:val="00C53F7B"/>
    <w:rsid w:val="00C53F93"/>
    <w:rsid w:val="00C53FCB"/>
    <w:rsid w:val="00C540E8"/>
    <w:rsid w:val="00C54281"/>
    <w:rsid w:val="00C5447E"/>
    <w:rsid w:val="00C54825"/>
    <w:rsid w:val="00C54A43"/>
    <w:rsid w:val="00C54B8D"/>
    <w:rsid w:val="00C54BE3"/>
    <w:rsid w:val="00C54C38"/>
    <w:rsid w:val="00C54C4B"/>
    <w:rsid w:val="00C54D54"/>
    <w:rsid w:val="00C54DB3"/>
    <w:rsid w:val="00C54E7E"/>
    <w:rsid w:val="00C54EAB"/>
    <w:rsid w:val="00C54FAD"/>
    <w:rsid w:val="00C5523D"/>
    <w:rsid w:val="00C552D1"/>
    <w:rsid w:val="00C554B9"/>
    <w:rsid w:val="00C554C9"/>
    <w:rsid w:val="00C554DC"/>
    <w:rsid w:val="00C555FD"/>
    <w:rsid w:val="00C558CE"/>
    <w:rsid w:val="00C55960"/>
    <w:rsid w:val="00C55BF8"/>
    <w:rsid w:val="00C561F9"/>
    <w:rsid w:val="00C5670A"/>
    <w:rsid w:val="00C5679A"/>
    <w:rsid w:val="00C5687D"/>
    <w:rsid w:val="00C570B1"/>
    <w:rsid w:val="00C574DA"/>
    <w:rsid w:val="00C574EE"/>
    <w:rsid w:val="00C57668"/>
    <w:rsid w:val="00C57680"/>
    <w:rsid w:val="00C5790C"/>
    <w:rsid w:val="00C57B66"/>
    <w:rsid w:val="00C57B7A"/>
    <w:rsid w:val="00C57E32"/>
    <w:rsid w:val="00C57FE6"/>
    <w:rsid w:val="00C60392"/>
    <w:rsid w:val="00C6045C"/>
    <w:rsid w:val="00C60588"/>
    <w:rsid w:val="00C6071D"/>
    <w:rsid w:val="00C60C3A"/>
    <w:rsid w:val="00C6146A"/>
    <w:rsid w:val="00C61527"/>
    <w:rsid w:val="00C61801"/>
    <w:rsid w:val="00C62399"/>
    <w:rsid w:val="00C62515"/>
    <w:rsid w:val="00C625CB"/>
    <w:rsid w:val="00C629C6"/>
    <w:rsid w:val="00C62A04"/>
    <w:rsid w:val="00C62A3A"/>
    <w:rsid w:val="00C62BBC"/>
    <w:rsid w:val="00C62C38"/>
    <w:rsid w:val="00C62CF5"/>
    <w:rsid w:val="00C62D6D"/>
    <w:rsid w:val="00C62DEA"/>
    <w:rsid w:val="00C630B6"/>
    <w:rsid w:val="00C6316A"/>
    <w:rsid w:val="00C6365F"/>
    <w:rsid w:val="00C63A49"/>
    <w:rsid w:val="00C63A76"/>
    <w:rsid w:val="00C63B04"/>
    <w:rsid w:val="00C63CEB"/>
    <w:rsid w:val="00C63ED5"/>
    <w:rsid w:val="00C63F81"/>
    <w:rsid w:val="00C63F93"/>
    <w:rsid w:val="00C6411B"/>
    <w:rsid w:val="00C64215"/>
    <w:rsid w:val="00C643B8"/>
    <w:rsid w:val="00C644D9"/>
    <w:rsid w:val="00C64F0E"/>
    <w:rsid w:val="00C64F69"/>
    <w:rsid w:val="00C64FEE"/>
    <w:rsid w:val="00C6502F"/>
    <w:rsid w:val="00C651E3"/>
    <w:rsid w:val="00C659AC"/>
    <w:rsid w:val="00C65ADE"/>
    <w:rsid w:val="00C65C10"/>
    <w:rsid w:val="00C65FBD"/>
    <w:rsid w:val="00C66062"/>
    <w:rsid w:val="00C66089"/>
    <w:rsid w:val="00C66217"/>
    <w:rsid w:val="00C66680"/>
    <w:rsid w:val="00C669A6"/>
    <w:rsid w:val="00C66A61"/>
    <w:rsid w:val="00C66CD4"/>
    <w:rsid w:val="00C66D5D"/>
    <w:rsid w:val="00C66FD2"/>
    <w:rsid w:val="00C67060"/>
    <w:rsid w:val="00C6713E"/>
    <w:rsid w:val="00C67153"/>
    <w:rsid w:val="00C67267"/>
    <w:rsid w:val="00C6761F"/>
    <w:rsid w:val="00C679A4"/>
    <w:rsid w:val="00C67B0B"/>
    <w:rsid w:val="00C67C0B"/>
    <w:rsid w:val="00C67E3E"/>
    <w:rsid w:val="00C67EF8"/>
    <w:rsid w:val="00C67F3C"/>
    <w:rsid w:val="00C70992"/>
    <w:rsid w:val="00C70C47"/>
    <w:rsid w:val="00C712B7"/>
    <w:rsid w:val="00C7137E"/>
    <w:rsid w:val="00C71605"/>
    <w:rsid w:val="00C71630"/>
    <w:rsid w:val="00C7163A"/>
    <w:rsid w:val="00C716E3"/>
    <w:rsid w:val="00C71F4C"/>
    <w:rsid w:val="00C71FEF"/>
    <w:rsid w:val="00C72485"/>
    <w:rsid w:val="00C727A1"/>
    <w:rsid w:val="00C7296F"/>
    <w:rsid w:val="00C72F18"/>
    <w:rsid w:val="00C7321E"/>
    <w:rsid w:val="00C7322E"/>
    <w:rsid w:val="00C73316"/>
    <w:rsid w:val="00C7342B"/>
    <w:rsid w:val="00C734AF"/>
    <w:rsid w:val="00C73812"/>
    <w:rsid w:val="00C73883"/>
    <w:rsid w:val="00C73A6F"/>
    <w:rsid w:val="00C73BC2"/>
    <w:rsid w:val="00C73F13"/>
    <w:rsid w:val="00C7406F"/>
    <w:rsid w:val="00C741B3"/>
    <w:rsid w:val="00C7459C"/>
    <w:rsid w:val="00C74727"/>
    <w:rsid w:val="00C74935"/>
    <w:rsid w:val="00C74FA2"/>
    <w:rsid w:val="00C75180"/>
    <w:rsid w:val="00C7530A"/>
    <w:rsid w:val="00C753B8"/>
    <w:rsid w:val="00C7543C"/>
    <w:rsid w:val="00C7567E"/>
    <w:rsid w:val="00C75852"/>
    <w:rsid w:val="00C75B67"/>
    <w:rsid w:val="00C75D71"/>
    <w:rsid w:val="00C75E63"/>
    <w:rsid w:val="00C75EAB"/>
    <w:rsid w:val="00C75ED7"/>
    <w:rsid w:val="00C7602A"/>
    <w:rsid w:val="00C761BB"/>
    <w:rsid w:val="00C7661A"/>
    <w:rsid w:val="00C767A7"/>
    <w:rsid w:val="00C7684B"/>
    <w:rsid w:val="00C768BC"/>
    <w:rsid w:val="00C76902"/>
    <w:rsid w:val="00C7692E"/>
    <w:rsid w:val="00C76CFC"/>
    <w:rsid w:val="00C77968"/>
    <w:rsid w:val="00C77C15"/>
    <w:rsid w:val="00C77CFA"/>
    <w:rsid w:val="00C77D97"/>
    <w:rsid w:val="00C77FDC"/>
    <w:rsid w:val="00C801EE"/>
    <w:rsid w:val="00C80410"/>
    <w:rsid w:val="00C8092E"/>
    <w:rsid w:val="00C80F04"/>
    <w:rsid w:val="00C810D3"/>
    <w:rsid w:val="00C8158A"/>
    <w:rsid w:val="00C817F8"/>
    <w:rsid w:val="00C81A23"/>
    <w:rsid w:val="00C81A2F"/>
    <w:rsid w:val="00C81A64"/>
    <w:rsid w:val="00C81F58"/>
    <w:rsid w:val="00C82023"/>
    <w:rsid w:val="00C826BB"/>
    <w:rsid w:val="00C82720"/>
    <w:rsid w:val="00C828E2"/>
    <w:rsid w:val="00C82A5D"/>
    <w:rsid w:val="00C82DAC"/>
    <w:rsid w:val="00C82E6C"/>
    <w:rsid w:val="00C832DE"/>
    <w:rsid w:val="00C8331E"/>
    <w:rsid w:val="00C838AD"/>
    <w:rsid w:val="00C83CE3"/>
    <w:rsid w:val="00C84147"/>
    <w:rsid w:val="00C84149"/>
    <w:rsid w:val="00C841D2"/>
    <w:rsid w:val="00C844FB"/>
    <w:rsid w:val="00C8454A"/>
    <w:rsid w:val="00C8460A"/>
    <w:rsid w:val="00C84910"/>
    <w:rsid w:val="00C84C1C"/>
    <w:rsid w:val="00C84CFE"/>
    <w:rsid w:val="00C857D0"/>
    <w:rsid w:val="00C858EF"/>
    <w:rsid w:val="00C859A1"/>
    <w:rsid w:val="00C85DA2"/>
    <w:rsid w:val="00C85E46"/>
    <w:rsid w:val="00C8612E"/>
    <w:rsid w:val="00C8644D"/>
    <w:rsid w:val="00C869E7"/>
    <w:rsid w:val="00C86A32"/>
    <w:rsid w:val="00C86B34"/>
    <w:rsid w:val="00C86CF3"/>
    <w:rsid w:val="00C86D14"/>
    <w:rsid w:val="00C86E0D"/>
    <w:rsid w:val="00C87329"/>
    <w:rsid w:val="00C87616"/>
    <w:rsid w:val="00C87638"/>
    <w:rsid w:val="00C8791A"/>
    <w:rsid w:val="00C87D9D"/>
    <w:rsid w:val="00C87EC0"/>
    <w:rsid w:val="00C90016"/>
    <w:rsid w:val="00C902EE"/>
    <w:rsid w:val="00C90460"/>
    <w:rsid w:val="00C91014"/>
    <w:rsid w:val="00C91244"/>
    <w:rsid w:val="00C914A4"/>
    <w:rsid w:val="00C91DAF"/>
    <w:rsid w:val="00C91F37"/>
    <w:rsid w:val="00C91F4D"/>
    <w:rsid w:val="00C925B4"/>
    <w:rsid w:val="00C92730"/>
    <w:rsid w:val="00C928E3"/>
    <w:rsid w:val="00C9299D"/>
    <w:rsid w:val="00C92C17"/>
    <w:rsid w:val="00C92D95"/>
    <w:rsid w:val="00C92F04"/>
    <w:rsid w:val="00C93183"/>
    <w:rsid w:val="00C931C6"/>
    <w:rsid w:val="00C93526"/>
    <w:rsid w:val="00C9378C"/>
    <w:rsid w:val="00C939BA"/>
    <w:rsid w:val="00C93BD1"/>
    <w:rsid w:val="00C93C8A"/>
    <w:rsid w:val="00C93D6A"/>
    <w:rsid w:val="00C93E70"/>
    <w:rsid w:val="00C94BC4"/>
    <w:rsid w:val="00C94DED"/>
    <w:rsid w:val="00C9535B"/>
    <w:rsid w:val="00C9547A"/>
    <w:rsid w:val="00C95538"/>
    <w:rsid w:val="00C95657"/>
    <w:rsid w:val="00C95801"/>
    <w:rsid w:val="00C95871"/>
    <w:rsid w:val="00C95E0E"/>
    <w:rsid w:val="00C96532"/>
    <w:rsid w:val="00C96710"/>
    <w:rsid w:val="00C96A71"/>
    <w:rsid w:val="00C96C66"/>
    <w:rsid w:val="00C96E49"/>
    <w:rsid w:val="00C96ED9"/>
    <w:rsid w:val="00C97230"/>
    <w:rsid w:val="00C97248"/>
    <w:rsid w:val="00C972D0"/>
    <w:rsid w:val="00C972D1"/>
    <w:rsid w:val="00C973BA"/>
    <w:rsid w:val="00C97514"/>
    <w:rsid w:val="00C97934"/>
    <w:rsid w:val="00C97A7F"/>
    <w:rsid w:val="00C97F2B"/>
    <w:rsid w:val="00CA00ED"/>
    <w:rsid w:val="00CA01F1"/>
    <w:rsid w:val="00CA03C5"/>
    <w:rsid w:val="00CA043D"/>
    <w:rsid w:val="00CA0A9C"/>
    <w:rsid w:val="00CA0B98"/>
    <w:rsid w:val="00CA0C8B"/>
    <w:rsid w:val="00CA0E04"/>
    <w:rsid w:val="00CA0E4C"/>
    <w:rsid w:val="00CA0F38"/>
    <w:rsid w:val="00CA0FAD"/>
    <w:rsid w:val="00CA165A"/>
    <w:rsid w:val="00CA1DE5"/>
    <w:rsid w:val="00CA1E13"/>
    <w:rsid w:val="00CA1E82"/>
    <w:rsid w:val="00CA209D"/>
    <w:rsid w:val="00CA232F"/>
    <w:rsid w:val="00CA2722"/>
    <w:rsid w:val="00CA2817"/>
    <w:rsid w:val="00CA29EB"/>
    <w:rsid w:val="00CA2F4F"/>
    <w:rsid w:val="00CA2F8C"/>
    <w:rsid w:val="00CA305C"/>
    <w:rsid w:val="00CA32A3"/>
    <w:rsid w:val="00CA3460"/>
    <w:rsid w:val="00CA36BE"/>
    <w:rsid w:val="00CA3779"/>
    <w:rsid w:val="00CA3BC3"/>
    <w:rsid w:val="00CA4066"/>
    <w:rsid w:val="00CA4236"/>
    <w:rsid w:val="00CA43E6"/>
    <w:rsid w:val="00CA44B0"/>
    <w:rsid w:val="00CA4CE6"/>
    <w:rsid w:val="00CA4EB1"/>
    <w:rsid w:val="00CA4FFA"/>
    <w:rsid w:val="00CA5134"/>
    <w:rsid w:val="00CA570D"/>
    <w:rsid w:val="00CA5A04"/>
    <w:rsid w:val="00CA5AA9"/>
    <w:rsid w:val="00CA6332"/>
    <w:rsid w:val="00CA6440"/>
    <w:rsid w:val="00CA687C"/>
    <w:rsid w:val="00CA6E75"/>
    <w:rsid w:val="00CA7043"/>
    <w:rsid w:val="00CA747C"/>
    <w:rsid w:val="00CA7498"/>
    <w:rsid w:val="00CA74FE"/>
    <w:rsid w:val="00CA76E0"/>
    <w:rsid w:val="00CA79E2"/>
    <w:rsid w:val="00CA7BC1"/>
    <w:rsid w:val="00CA7C43"/>
    <w:rsid w:val="00CA7D28"/>
    <w:rsid w:val="00CB037E"/>
    <w:rsid w:val="00CB04B0"/>
    <w:rsid w:val="00CB0661"/>
    <w:rsid w:val="00CB091E"/>
    <w:rsid w:val="00CB093F"/>
    <w:rsid w:val="00CB0BBC"/>
    <w:rsid w:val="00CB0BCC"/>
    <w:rsid w:val="00CB0CF1"/>
    <w:rsid w:val="00CB0F1C"/>
    <w:rsid w:val="00CB0F91"/>
    <w:rsid w:val="00CB1034"/>
    <w:rsid w:val="00CB1072"/>
    <w:rsid w:val="00CB128C"/>
    <w:rsid w:val="00CB13EC"/>
    <w:rsid w:val="00CB1734"/>
    <w:rsid w:val="00CB186B"/>
    <w:rsid w:val="00CB1B9F"/>
    <w:rsid w:val="00CB202F"/>
    <w:rsid w:val="00CB238D"/>
    <w:rsid w:val="00CB27A4"/>
    <w:rsid w:val="00CB2827"/>
    <w:rsid w:val="00CB29DE"/>
    <w:rsid w:val="00CB2B32"/>
    <w:rsid w:val="00CB2BF7"/>
    <w:rsid w:val="00CB2E76"/>
    <w:rsid w:val="00CB3002"/>
    <w:rsid w:val="00CB303A"/>
    <w:rsid w:val="00CB32CD"/>
    <w:rsid w:val="00CB377A"/>
    <w:rsid w:val="00CB39A8"/>
    <w:rsid w:val="00CB3E01"/>
    <w:rsid w:val="00CB401D"/>
    <w:rsid w:val="00CB425F"/>
    <w:rsid w:val="00CB43F5"/>
    <w:rsid w:val="00CB44EC"/>
    <w:rsid w:val="00CB4AE4"/>
    <w:rsid w:val="00CB4CC4"/>
    <w:rsid w:val="00CB4E65"/>
    <w:rsid w:val="00CB5860"/>
    <w:rsid w:val="00CB5BAF"/>
    <w:rsid w:val="00CB6110"/>
    <w:rsid w:val="00CB637B"/>
    <w:rsid w:val="00CB64AE"/>
    <w:rsid w:val="00CB65EE"/>
    <w:rsid w:val="00CB6635"/>
    <w:rsid w:val="00CB66F0"/>
    <w:rsid w:val="00CB670C"/>
    <w:rsid w:val="00CB67A9"/>
    <w:rsid w:val="00CB680A"/>
    <w:rsid w:val="00CB6903"/>
    <w:rsid w:val="00CB7155"/>
    <w:rsid w:val="00CB7436"/>
    <w:rsid w:val="00CB74E5"/>
    <w:rsid w:val="00CB77B0"/>
    <w:rsid w:val="00CB77E6"/>
    <w:rsid w:val="00CB796B"/>
    <w:rsid w:val="00CB7AE8"/>
    <w:rsid w:val="00CB7B49"/>
    <w:rsid w:val="00CB7BDC"/>
    <w:rsid w:val="00CB7DD2"/>
    <w:rsid w:val="00CC0000"/>
    <w:rsid w:val="00CC005D"/>
    <w:rsid w:val="00CC01AC"/>
    <w:rsid w:val="00CC0223"/>
    <w:rsid w:val="00CC023C"/>
    <w:rsid w:val="00CC02C6"/>
    <w:rsid w:val="00CC05FC"/>
    <w:rsid w:val="00CC08A0"/>
    <w:rsid w:val="00CC1000"/>
    <w:rsid w:val="00CC11CE"/>
    <w:rsid w:val="00CC1204"/>
    <w:rsid w:val="00CC1571"/>
    <w:rsid w:val="00CC18CC"/>
    <w:rsid w:val="00CC1A95"/>
    <w:rsid w:val="00CC1CFA"/>
    <w:rsid w:val="00CC1E1B"/>
    <w:rsid w:val="00CC20AA"/>
    <w:rsid w:val="00CC2148"/>
    <w:rsid w:val="00CC2433"/>
    <w:rsid w:val="00CC250E"/>
    <w:rsid w:val="00CC2641"/>
    <w:rsid w:val="00CC29CD"/>
    <w:rsid w:val="00CC2B75"/>
    <w:rsid w:val="00CC2BF6"/>
    <w:rsid w:val="00CC2DA3"/>
    <w:rsid w:val="00CC2E2F"/>
    <w:rsid w:val="00CC2EB2"/>
    <w:rsid w:val="00CC2F8A"/>
    <w:rsid w:val="00CC3333"/>
    <w:rsid w:val="00CC3860"/>
    <w:rsid w:val="00CC395D"/>
    <w:rsid w:val="00CC3ADF"/>
    <w:rsid w:val="00CC4254"/>
    <w:rsid w:val="00CC42D9"/>
    <w:rsid w:val="00CC4360"/>
    <w:rsid w:val="00CC4436"/>
    <w:rsid w:val="00CC4614"/>
    <w:rsid w:val="00CC47BB"/>
    <w:rsid w:val="00CC4CD5"/>
    <w:rsid w:val="00CC4D80"/>
    <w:rsid w:val="00CC4E26"/>
    <w:rsid w:val="00CC4F87"/>
    <w:rsid w:val="00CC503E"/>
    <w:rsid w:val="00CC50E5"/>
    <w:rsid w:val="00CC537D"/>
    <w:rsid w:val="00CC540B"/>
    <w:rsid w:val="00CC546E"/>
    <w:rsid w:val="00CC5B4C"/>
    <w:rsid w:val="00CC5CAB"/>
    <w:rsid w:val="00CC5E5B"/>
    <w:rsid w:val="00CC5F25"/>
    <w:rsid w:val="00CC64DC"/>
    <w:rsid w:val="00CC655C"/>
    <w:rsid w:val="00CC666D"/>
    <w:rsid w:val="00CC6C30"/>
    <w:rsid w:val="00CC700E"/>
    <w:rsid w:val="00CC702C"/>
    <w:rsid w:val="00CC70B7"/>
    <w:rsid w:val="00CC7162"/>
    <w:rsid w:val="00CC71F1"/>
    <w:rsid w:val="00CC73D0"/>
    <w:rsid w:val="00CC747F"/>
    <w:rsid w:val="00CC765E"/>
    <w:rsid w:val="00CC7709"/>
    <w:rsid w:val="00CC7792"/>
    <w:rsid w:val="00CC77EE"/>
    <w:rsid w:val="00CC7966"/>
    <w:rsid w:val="00CC7A7D"/>
    <w:rsid w:val="00CC7C9A"/>
    <w:rsid w:val="00CC7CBD"/>
    <w:rsid w:val="00CC7D86"/>
    <w:rsid w:val="00CC7DAB"/>
    <w:rsid w:val="00CD00C5"/>
    <w:rsid w:val="00CD08E4"/>
    <w:rsid w:val="00CD14EF"/>
    <w:rsid w:val="00CD15BB"/>
    <w:rsid w:val="00CD1A82"/>
    <w:rsid w:val="00CD1ACE"/>
    <w:rsid w:val="00CD1D82"/>
    <w:rsid w:val="00CD1FF0"/>
    <w:rsid w:val="00CD1FF5"/>
    <w:rsid w:val="00CD2164"/>
    <w:rsid w:val="00CD242F"/>
    <w:rsid w:val="00CD26DF"/>
    <w:rsid w:val="00CD2DF3"/>
    <w:rsid w:val="00CD2F2A"/>
    <w:rsid w:val="00CD3049"/>
    <w:rsid w:val="00CD3055"/>
    <w:rsid w:val="00CD332E"/>
    <w:rsid w:val="00CD3462"/>
    <w:rsid w:val="00CD3997"/>
    <w:rsid w:val="00CD3BCB"/>
    <w:rsid w:val="00CD3BD0"/>
    <w:rsid w:val="00CD4235"/>
    <w:rsid w:val="00CD4325"/>
    <w:rsid w:val="00CD4386"/>
    <w:rsid w:val="00CD44C9"/>
    <w:rsid w:val="00CD45AA"/>
    <w:rsid w:val="00CD4718"/>
    <w:rsid w:val="00CD483E"/>
    <w:rsid w:val="00CD48EA"/>
    <w:rsid w:val="00CD4B45"/>
    <w:rsid w:val="00CD560A"/>
    <w:rsid w:val="00CD5655"/>
    <w:rsid w:val="00CD5677"/>
    <w:rsid w:val="00CD5893"/>
    <w:rsid w:val="00CD59FF"/>
    <w:rsid w:val="00CD5B8F"/>
    <w:rsid w:val="00CD5C35"/>
    <w:rsid w:val="00CD5D4C"/>
    <w:rsid w:val="00CD5E8D"/>
    <w:rsid w:val="00CD63F8"/>
    <w:rsid w:val="00CD65F2"/>
    <w:rsid w:val="00CD675E"/>
    <w:rsid w:val="00CD684E"/>
    <w:rsid w:val="00CD6C93"/>
    <w:rsid w:val="00CD6DD7"/>
    <w:rsid w:val="00CD6FD0"/>
    <w:rsid w:val="00CD7431"/>
    <w:rsid w:val="00CD75B5"/>
    <w:rsid w:val="00CD7710"/>
    <w:rsid w:val="00CD77D8"/>
    <w:rsid w:val="00CD7858"/>
    <w:rsid w:val="00CD79C6"/>
    <w:rsid w:val="00CD7A03"/>
    <w:rsid w:val="00CD7CDF"/>
    <w:rsid w:val="00CD7E78"/>
    <w:rsid w:val="00CE0399"/>
    <w:rsid w:val="00CE0835"/>
    <w:rsid w:val="00CE0944"/>
    <w:rsid w:val="00CE097C"/>
    <w:rsid w:val="00CE0C87"/>
    <w:rsid w:val="00CE0E66"/>
    <w:rsid w:val="00CE139A"/>
    <w:rsid w:val="00CE14D4"/>
    <w:rsid w:val="00CE16DC"/>
    <w:rsid w:val="00CE174A"/>
    <w:rsid w:val="00CE182D"/>
    <w:rsid w:val="00CE1D05"/>
    <w:rsid w:val="00CE1F31"/>
    <w:rsid w:val="00CE2265"/>
    <w:rsid w:val="00CE23FA"/>
    <w:rsid w:val="00CE249C"/>
    <w:rsid w:val="00CE254C"/>
    <w:rsid w:val="00CE259E"/>
    <w:rsid w:val="00CE25C3"/>
    <w:rsid w:val="00CE2728"/>
    <w:rsid w:val="00CE28D3"/>
    <w:rsid w:val="00CE299D"/>
    <w:rsid w:val="00CE305C"/>
    <w:rsid w:val="00CE33D9"/>
    <w:rsid w:val="00CE3526"/>
    <w:rsid w:val="00CE360D"/>
    <w:rsid w:val="00CE3614"/>
    <w:rsid w:val="00CE381D"/>
    <w:rsid w:val="00CE3827"/>
    <w:rsid w:val="00CE3837"/>
    <w:rsid w:val="00CE3ACD"/>
    <w:rsid w:val="00CE3C25"/>
    <w:rsid w:val="00CE3CE0"/>
    <w:rsid w:val="00CE3E1B"/>
    <w:rsid w:val="00CE3F37"/>
    <w:rsid w:val="00CE3FE0"/>
    <w:rsid w:val="00CE4127"/>
    <w:rsid w:val="00CE4135"/>
    <w:rsid w:val="00CE4323"/>
    <w:rsid w:val="00CE4815"/>
    <w:rsid w:val="00CE490E"/>
    <w:rsid w:val="00CE49E6"/>
    <w:rsid w:val="00CE4AD0"/>
    <w:rsid w:val="00CE4CA3"/>
    <w:rsid w:val="00CE4FFE"/>
    <w:rsid w:val="00CE502A"/>
    <w:rsid w:val="00CE5178"/>
    <w:rsid w:val="00CE53B2"/>
    <w:rsid w:val="00CE5439"/>
    <w:rsid w:val="00CE54AA"/>
    <w:rsid w:val="00CE557C"/>
    <w:rsid w:val="00CE571C"/>
    <w:rsid w:val="00CE5B2D"/>
    <w:rsid w:val="00CE5CF4"/>
    <w:rsid w:val="00CE5EA7"/>
    <w:rsid w:val="00CE5F2B"/>
    <w:rsid w:val="00CE608E"/>
    <w:rsid w:val="00CE60D2"/>
    <w:rsid w:val="00CE6192"/>
    <w:rsid w:val="00CE6230"/>
    <w:rsid w:val="00CE6267"/>
    <w:rsid w:val="00CE634F"/>
    <w:rsid w:val="00CE64CF"/>
    <w:rsid w:val="00CE6523"/>
    <w:rsid w:val="00CE68A4"/>
    <w:rsid w:val="00CE6B05"/>
    <w:rsid w:val="00CE6BA3"/>
    <w:rsid w:val="00CE6FC6"/>
    <w:rsid w:val="00CE70E7"/>
    <w:rsid w:val="00CE74CC"/>
    <w:rsid w:val="00CE764E"/>
    <w:rsid w:val="00CE786C"/>
    <w:rsid w:val="00CE7ACE"/>
    <w:rsid w:val="00CF0231"/>
    <w:rsid w:val="00CF034B"/>
    <w:rsid w:val="00CF0575"/>
    <w:rsid w:val="00CF0595"/>
    <w:rsid w:val="00CF064C"/>
    <w:rsid w:val="00CF06A9"/>
    <w:rsid w:val="00CF0868"/>
    <w:rsid w:val="00CF0B81"/>
    <w:rsid w:val="00CF0C7B"/>
    <w:rsid w:val="00CF0CB9"/>
    <w:rsid w:val="00CF0CD2"/>
    <w:rsid w:val="00CF0D94"/>
    <w:rsid w:val="00CF0E44"/>
    <w:rsid w:val="00CF11F2"/>
    <w:rsid w:val="00CF131C"/>
    <w:rsid w:val="00CF1748"/>
    <w:rsid w:val="00CF1AF1"/>
    <w:rsid w:val="00CF1C3F"/>
    <w:rsid w:val="00CF1DFD"/>
    <w:rsid w:val="00CF1E3B"/>
    <w:rsid w:val="00CF1E97"/>
    <w:rsid w:val="00CF20A4"/>
    <w:rsid w:val="00CF2182"/>
    <w:rsid w:val="00CF220E"/>
    <w:rsid w:val="00CF2278"/>
    <w:rsid w:val="00CF2373"/>
    <w:rsid w:val="00CF25D4"/>
    <w:rsid w:val="00CF270E"/>
    <w:rsid w:val="00CF2779"/>
    <w:rsid w:val="00CF2EDA"/>
    <w:rsid w:val="00CF2F25"/>
    <w:rsid w:val="00CF309A"/>
    <w:rsid w:val="00CF3621"/>
    <w:rsid w:val="00CF383D"/>
    <w:rsid w:val="00CF38F3"/>
    <w:rsid w:val="00CF3C0E"/>
    <w:rsid w:val="00CF3C97"/>
    <w:rsid w:val="00CF3EFC"/>
    <w:rsid w:val="00CF4159"/>
    <w:rsid w:val="00CF4478"/>
    <w:rsid w:val="00CF44B5"/>
    <w:rsid w:val="00CF45E6"/>
    <w:rsid w:val="00CF479C"/>
    <w:rsid w:val="00CF49D7"/>
    <w:rsid w:val="00CF4B49"/>
    <w:rsid w:val="00CF5153"/>
    <w:rsid w:val="00CF5255"/>
    <w:rsid w:val="00CF5642"/>
    <w:rsid w:val="00CF56AF"/>
    <w:rsid w:val="00CF5C64"/>
    <w:rsid w:val="00CF5D35"/>
    <w:rsid w:val="00CF5EF4"/>
    <w:rsid w:val="00CF60D6"/>
    <w:rsid w:val="00CF628F"/>
    <w:rsid w:val="00CF635D"/>
    <w:rsid w:val="00CF66E6"/>
    <w:rsid w:val="00CF67A0"/>
    <w:rsid w:val="00CF6C33"/>
    <w:rsid w:val="00CF6D66"/>
    <w:rsid w:val="00CF6F75"/>
    <w:rsid w:val="00CF70C5"/>
    <w:rsid w:val="00CF74C5"/>
    <w:rsid w:val="00CF74E5"/>
    <w:rsid w:val="00CF7526"/>
    <w:rsid w:val="00CF7ADC"/>
    <w:rsid w:val="00CF7FAD"/>
    <w:rsid w:val="00D000C5"/>
    <w:rsid w:val="00D006A3"/>
    <w:rsid w:val="00D007C9"/>
    <w:rsid w:val="00D0090E"/>
    <w:rsid w:val="00D00A66"/>
    <w:rsid w:val="00D00B52"/>
    <w:rsid w:val="00D00D2A"/>
    <w:rsid w:val="00D01121"/>
    <w:rsid w:val="00D01145"/>
    <w:rsid w:val="00D011F1"/>
    <w:rsid w:val="00D012F0"/>
    <w:rsid w:val="00D017D8"/>
    <w:rsid w:val="00D01A1C"/>
    <w:rsid w:val="00D01C03"/>
    <w:rsid w:val="00D01FE8"/>
    <w:rsid w:val="00D02078"/>
    <w:rsid w:val="00D021E3"/>
    <w:rsid w:val="00D02300"/>
    <w:rsid w:val="00D0231D"/>
    <w:rsid w:val="00D024F6"/>
    <w:rsid w:val="00D0284F"/>
    <w:rsid w:val="00D02993"/>
    <w:rsid w:val="00D02FE8"/>
    <w:rsid w:val="00D034AB"/>
    <w:rsid w:val="00D03F76"/>
    <w:rsid w:val="00D0411C"/>
    <w:rsid w:val="00D04166"/>
    <w:rsid w:val="00D0423F"/>
    <w:rsid w:val="00D044A3"/>
    <w:rsid w:val="00D0469E"/>
    <w:rsid w:val="00D04C9A"/>
    <w:rsid w:val="00D05090"/>
    <w:rsid w:val="00D0517B"/>
    <w:rsid w:val="00D051E4"/>
    <w:rsid w:val="00D05320"/>
    <w:rsid w:val="00D053C5"/>
    <w:rsid w:val="00D05A6D"/>
    <w:rsid w:val="00D05A7D"/>
    <w:rsid w:val="00D05BBB"/>
    <w:rsid w:val="00D0602F"/>
    <w:rsid w:val="00D061E0"/>
    <w:rsid w:val="00D063AF"/>
    <w:rsid w:val="00D0679D"/>
    <w:rsid w:val="00D06D88"/>
    <w:rsid w:val="00D06EF0"/>
    <w:rsid w:val="00D06F5D"/>
    <w:rsid w:val="00D06FA1"/>
    <w:rsid w:val="00D07048"/>
    <w:rsid w:val="00D070F2"/>
    <w:rsid w:val="00D072A1"/>
    <w:rsid w:val="00D072E0"/>
    <w:rsid w:val="00D075AF"/>
    <w:rsid w:val="00D07A56"/>
    <w:rsid w:val="00D07C53"/>
    <w:rsid w:val="00D07CCD"/>
    <w:rsid w:val="00D07CE3"/>
    <w:rsid w:val="00D1005D"/>
    <w:rsid w:val="00D1039A"/>
    <w:rsid w:val="00D106BB"/>
    <w:rsid w:val="00D10B00"/>
    <w:rsid w:val="00D10B18"/>
    <w:rsid w:val="00D10B3C"/>
    <w:rsid w:val="00D11159"/>
    <w:rsid w:val="00D11574"/>
    <w:rsid w:val="00D116AB"/>
    <w:rsid w:val="00D117BF"/>
    <w:rsid w:val="00D117D4"/>
    <w:rsid w:val="00D118B9"/>
    <w:rsid w:val="00D11DA4"/>
    <w:rsid w:val="00D11EA3"/>
    <w:rsid w:val="00D1206D"/>
    <w:rsid w:val="00D1208C"/>
    <w:rsid w:val="00D12138"/>
    <w:rsid w:val="00D1219C"/>
    <w:rsid w:val="00D12502"/>
    <w:rsid w:val="00D1250B"/>
    <w:rsid w:val="00D125B2"/>
    <w:rsid w:val="00D125C9"/>
    <w:rsid w:val="00D126C8"/>
    <w:rsid w:val="00D12F41"/>
    <w:rsid w:val="00D133CA"/>
    <w:rsid w:val="00D13421"/>
    <w:rsid w:val="00D1358C"/>
    <w:rsid w:val="00D136A5"/>
    <w:rsid w:val="00D139B7"/>
    <w:rsid w:val="00D13B39"/>
    <w:rsid w:val="00D14140"/>
    <w:rsid w:val="00D144DA"/>
    <w:rsid w:val="00D14516"/>
    <w:rsid w:val="00D15043"/>
    <w:rsid w:val="00D150FC"/>
    <w:rsid w:val="00D15A01"/>
    <w:rsid w:val="00D1647B"/>
    <w:rsid w:val="00D1674E"/>
    <w:rsid w:val="00D16CD4"/>
    <w:rsid w:val="00D16DC4"/>
    <w:rsid w:val="00D16EB5"/>
    <w:rsid w:val="00D16FDD"/>
    <w:rsid w:val="00D17443"/>
    <w:rsid w:val="00D17AC1"/>
    <w:rsid w:val="00D17F31"/>
    <w:rsid w:val="00D2002E"/>
    <w:rsid w:val="00D20121"/>
    <w:rsid w:val="00D20128"/>
    <w:rsid w:val="00D20166"/>
    <w:rsid w:val="00D20213"/>
    <w:rsid w:val="00D20656"/>
    <w:rsid w:val="00D2077B"/>
    <w:rsid w:val="00D209B1"/>
    <w:rsid w:val="00D209F8"/>
    <w:rsid w:val="00D20F9D"/>
    <w:rsid w:val="00D21135"/>
    <w:rsid w:val="00D21397"/>
    <w:rsid w:val="00D21454"/>
    <w:rsid w:val="00D2154B"/>
    <w:rsid w:val="00D2154C"/>
    <w:rsid w:val="00D2157F"/>
    <w:rsid w:val="00D218DD"/>
    <w:rsid w:val="00D21A72"/>
    <w:rsid w:val="00D21DBC"/>
    <w:rsid w:val="00D2234F"/>
    <w:rsid w:val="00D22CF7"/>
    <w:rsid w:val="00D22E75"/>
    <w:rsid w:val="00D22FDA"/>
    <w:rsid w:val="00D231BE"/>
    <w:rsid w:val="00D23579"/>
    <w:rsid w:val="00D236B6"/>
    <w:rsid w:val="00D23790"/>
    <w:rsid w:val="00D23A66"/>
    <w:rsid w:val="00D23ED3"/>
    <w:rsid w:val="00D241AC"/>
    <w:rsid w:val="00D244F4"/>
    <w:rsid w:val="00D24BA3"/>
    <w:rsid w:val="00D24E23"/>
    <w:rsid w:val="00D24E5C"/>
    <w:rsid w:val="00D24EF8"/>
    <w:rsid w:val="00D24FAF"/>
    <w:rsid w:val="00D2538E"/>
    <w:rsid w:val="00D259F8"/>
    <w:rsid w:val="00D25FE3"/>
    <w:rsid w:val="00D265BE"/>
    <w:rsid w:val="00D2690B"/>
    <w:rsid w:val="00D2691C"/>
    <w:rsid w:val="00D26C8D"/>
    <w:rsid w:val="00D26D52"/>
    <w:rsid w:val="00D27160"/>
    <w:rsid w:val="00D271CD"/>
    <w:rsid w:val="00D27280"/>
    <w:rsid w:val="00D273D7"/>
    <w:rsid w:val="00D274E8"/>
    <w:rsid w:val="00D275D5"/>
    <w:rsid w:val="00D275D8"/>
    <w:rsid w:val="00D27762"/>
    <w:rsid w:val="00D27A25"/>
    <w:rsid w:val="00D27CCD"/>
    <w:rsid w:val="00D30745"/>
    <w:rsid w:val="00D30A10"/>
    <w:rsid w:val="00D312A4"/>
    <w:rsid w:val="00D3150A"/>
    <w:rsid w:val="00D315E1"/>
    <w:rsid w:val="00D3166D"/>
    <w:rsid w:val="00D316C2"/>
    <w:rsid w:val="00D318F7"/>
    <w:rsid w:val="00D31E38"/>
    <w:rsid w:val="00D31EF9"/>
    <w:rsid w:val="00D31F6B"/>
    <w:rsid w:val="00D32314"/>
    <w:rsid w:val="00D32747"/>
    <w:rsid w:val="00D32991"/>
    <w:rsid w:val="00D332B9"/>
    <w:rsid w:val="00D33388"/>
    <w:rsid w:val="00D335F8"/>
    <w:rsid w:val="00D33764"/>
    <w:rsid w:val="00D33D08"/>
    <w:rsid w:val="00D33D19"/>
    <w:rsid w:val="00D33FED"/>
    <w:rsid w:val="00D3455F"/>
    <w:rsid w:val="00D3467F"/>
    <w:rsid w:val="00D3477B"/>
    <w:rsid w:val="00D34AB1"/>
    <w:rsid w:val="00D35186"/>
    <w:rsid w:val="00D35274"/>
    <w:rsid w:val="00D3585B"/>
    <w:rsid w:val="00D3598D"/>
    <w:rsid w:val="00D359C6"/>
    <w:rsid w:val="00D35D38"/>
    <w:rsid w:val="00D35D92"/>
    <w:rsid w:val="00D35EEB"/>
    <w:rsid w:val="00D36122"/>
    <w:rsid w:val="00D367C7"/>
    <w:rsid w:val="00D36862"/>
    <w:rsid w:val="00D36987"/>
    <w:rsid w:val="00D369D2"/>
    <w:rsid w:val="00D36C00"/>
    <w:rsid w:val="00D371CA"/>
    <w:rsid w:val="00D37278"/>
    <w:rsid w:val="00D37350"/>
    <w:rsid w:val="00D37476"/>
    <w:rsid w:val="00D374F0"/>
    <w:rsid w:val="00D378E4"/>
    <w:rsid w:val="00D37C69"/>
    <w:rsid w:val="00D37DF6"/>
    <w:rsid w:val="00D37E01"/>
    <w:rsid w:val="00D37EEF"/>
    <w:rsid w:val="00D4004C"/>
    <w:rsid w:val="00D40352"/>
    <w:rsid w:val="00D40DC1"/>
    <w:rsid w:val="00D40E4D"/>
    <w:rsid w:val="00D40FEC"/>
    <w:rsid w:val="00D41113"/>
    <w:rsid w:val="00D411E4"/>
    <w:rsid w:val="00D41270"/>
    <w:rsid w:val="00D4155D"/>
    <w:rsid w:val="00D4168D"/>
    <w:rsid w:val="00D416A3"/>
    <w:rsid w:val="00D416C4"/>
    <w:rsid w:val="00D417A3"/>
    <w:rsid w:val="00D41B2F"/>
    <w:rsid w:val="00D41C4F"/>
    <w:rsid w:val="00D41D0F"/>
    <w:rsid w:val="00D41DBA"/>
    <w:rsid w:val="00D42288"/>
    <w:rsid w:val="00D42460"/>
    <w:rsid w:val="00D42500"/>
    <w:rsid w:val="00D42911"/>
    <w:rsid w:val="00D42A7F"/>
    <w:rsid w:val="00D42B48"/>
    <w:rsid w:val="00D42C66"/>
    <w:rsid w:val="00D42D72"/>
    <w:rsid w:val="00D42E6D"/>
    <w:rsid w:val="00D4304C"/>
    <w:rsid w:val="00D4333F"/>
    <w:rsid w:val="00D43410"/>
    <w:rsid w:val="00D43806"/>
    <w:rsid w:val="00D43A06"/>
    <w:rsid w:val="00D43AF9"/>
    <w:rsid w:val="00D444CB"/>
    <w:rsid w:val="00D4465C"/>
    <w:rsid w:val="00D447C6"/>
    <w:rsid w:val="00D447C8"/>
    <w:rsid w:val="00D44830"/>
    <w:rsid w:val="00D448FE"/>
    <w:rsid w:val="00D44C3A"/>
    <w:rsid w:val="00D44C42"/>
    <w:rsid w:val="00D44D33"/>
    <w:rsid w:val="00D44D39"/>
    <w:rsid w:val="00D44F8E"/>
    <w:rsid w:val="00D45C84"/>
    <w:rsid w:val="00D45DDB"/>
    <w:rsid w:val="00D45E07"/>
    <w:rsid w:val="00D45E9E"/>
    <w:rsid w:val="00D45F15"/>
    <w:rsid w:val="00D45F70"/>
    <w:rsid w:val="00D46213"/>
    <w:rsid w:val="00D4638E"/>
    <w:rsid w:val="00D46600"/>
    <w:rsid w:val="00D46665"/>
    <w:rsid w:val="00D469D5"/>
    <w:rsid w:val="00D473B9"/>
    <w:rsid w:val="00D47467"/>
    <w:rsid w:val="00D47C62"/>
    <w:rsid w:val="00D5016F"/>
    <w:rsid w:val="00D50178"/>
    <w:rsid w:val="00D50322"/>
    <w:rsid w:val="00D503F5"/>
    <w:rsid w:val="00D50527"/>
    <w:rsid w:val="00D505E0"/>
    <w:rsid w:val="00D507C4"/>
    <w:rsid w:val="00D507E2"/>
    <w:rsid w:val="00D5085D"/>
    <w:rsid w:val="00D50F75"/>
    <w:rsid w:val="00D50F8A"/>
    <w:rsid w:val="00D5130A"/>
    <w:rsid w:val="00D51493"/>
    <w:rsid w:val="00D514A9"/>
    <w:rsid w:val="00D516DF"/>
    <w:rsid w:val="00D51725"/>
    <w:rsid w:val="00D51803"/>
    <w:rsid w:val="00D51874"/>
    <w:rsid w:val="00D51A3E"/>
    <w:rsid w:val="00D51AEB"/>
    <w:rsid w:val="00D51BD7"/>
    <w:rsid w:val="00D51C2E"/>
    <w:rsid w:val="00D51C86"/>
    <w:rsid w:val="00D525C5"/>
    <w:rsid w:val="00D525F3"/>
    <w:rsid w:val="00D5265F"/>
    <w:rsid w:val="00D52A54"/>
    <w:rsid w:val="00D52ABA"/>
    <w:rsid w:val="00D52B3E"/>
    <w:rsid w:val="00D52DDA"/>
    <w:rsid w:val="00D53046"/>
    <w:rsid w:val="00D530DD"/>
    <w:rsid w:val="00D537B5"/>
    <w:rsid w:val="00D53A4A"/>
    <w:rsid w:val="00D53D8E"/>
    <w:rsid w:val="00D53F7C"/>
    <w:rsid w:val="00D54031"/>
    <w:rsid w:val="00D54189"/>
    <w:rsid w:val="00D543B6"/>
    <w:rsid w:val="00D54471"/>
    <w:rsid w:val="00D548DC"/>
    <w:rsid w:val="00D54976"/>
    <w:rsid w:val="00D54AF2"/>
    <w:rsid w:val="00D54F70"/>
    <w:rsid w:val="00D553C7"/>
    <w:rsid w:val="00D55567"/>
    <w:rsid w:val="00D55648"/>
    <w:rsid w:val="00D558F1"/>
    <w:rsid w:val="00D55CA5"/>
    <w:rsid w:val="00D55CD7"/>
    <w:rsid w:val="00D56208"/>
    <w:rsid w:val="00D562C9"/>
    <w:rsid w:val="00D5676C"/>
    <w:rsid w:val="00D56A0C"/>
    <w:rsid w:val="00D56B09"/>
    <w:rsid w:val="00D56CD1"/>
    <w:rsid w:val="00D56D4E"/>
    <w:rsid w:val="00D56F3F"/>
    <w:rsid w:val="00D57099"/>
    <w:rsid w:val="00D572CE"/>
    <w:rsid w:val="00D572E3"/>
    <w:rsid w:val="00D576D9"/>
    <w:rsid w:val="00D57C0E"/>
    <w:rsid w:val="00D57EB9"/>
    <w:rsid w:val="00D6013D"/>
    <w:rsid w:val="00D601DD"/>
    <w:rsid w:val="00D60718"/>
    <w:rsid w:val="00D61225"/>
    <w:rsid w:val="00D61405"/>
    <w:rsid w:val="00D61485"/>
    <w:rsid w:val="00D6150F"/>
    <w:rsid w:val="00D61652"/>
    <w:rsid w:val="00D61687"/>
    <w:rsid w:val="00D61A55"/>
    <w:rsid w:val="00D61BCB"/>
    <w:rsid w:val="00D61F12"/>
    <w:rsid w:val="00D626A6"/>
    <w:rsid w:val="00D6280D"/>
    <w:rsid w:val="00D62CA7"/>
    <w:rsid w:val="00D62D60"/>
    <w:rsid w:val="00D6328F"/>
    <w:rsid w:val="00D632B0"/>
    <w:rsid w:val="00D6341C"/>
    <w:rsid w:val="00D6367D"/>
    <w:rsid w:val="00D63826"/>
    <w:rsid w:val="00D63945"/>
    <w:rsid w:val="00D63A14"/>
    <w:rsid w:val="00D63B0F"/>
    <w:rsid w:val="00D63C92"/>
    <w:rsid w:val="00D6405E"/>
    <w:rsid w:val="00D6460B"/>
    <w:rsid w:val="00D6492B"/>
    <w:rsid w:val="00D64A19"/>
    <w:rsid w:val="00D64BDC"/>
    <w:rsid w:val="00D64CA9"/>
    <w:rsid w:val="00D64F4D"/>
    <w:rsid w:val="00D6505D"/>
    <w:rsid w:val="00D650B6"/>
    <w:rsid w:val="00D657BB"/>
    <w:rsid w:val="00D65800"/>
    <w:rsid w:val="00D65A64"/>
    <w:rsid w:val="00D6627E"/>
    <w:rsid w:val="00D66459"/>
    <w:rsid w:val="00D6668D"/>
    <w:rsid w:val="00D66F1D"/>
    <w:rsid w:val="00D67371"/>
    <w:rsid w:val="00D6791C"/>
    <w:rsid w:val="00D6799A"/>
    <w:rsid w:val="00D679AA"/>
    <w:rsid w:val="00D679CD"/>
    <w:rsid w:val="00D67A5C"/>
    <w:rsid w:val="00D67B53"/>
    <w:rsid w:val="00D67B8D"/>
    <w:rsid w:val="00D67F1B"/>
    <w:rsid w:val="00D67F78"/>
    <w:rsid w:val="00D70168"/>
    <w:rsid w:val="00D701C5"/>
    <w:rsid w:val="00D703D1"/>
    <w:rsid w:val="00D7086E"/>
    <w:rsid w:val="00D70985"/>
    <w:rsid w:val="00D70B2C"/>
    <w:rsid w:val="00D70F70"/>
    <w:rsid w:val="00D7100C"/>
    <w:rsid w:val="00D71137"/>
    <w:rsid w:val="00D713CF"/>
    <w:rsid w:val="00D717E4"/>
    <w:rsid w:val="00D71956"/>
    <w:rsid w:val="00D71CAC"/>
    <w:rsid w:val="00D71DB4"/>
    <w:rsid w:val="00D7204E"/>
    <w:rsid w:val="00D723DC"/>
    <w:rsid w:val="00D724C9"/>
    <w:rsid w:val="00D724EA"/>
    <w:rsid w:val="00D7264C"/>
    <w:rsid w:val="00D72903"/>
    <w:rsid w:val="00D72EF7"/>
    <w:rsid w:val="00D7306C"/>
    <w:rsid w:val="00D731B7"/>
    <w:rsid w:val="00D73232"/>
    <w:rsid w:val="00D73451"/>
    <w:rsid w:val="00D73522"/>
    <w:rsid w:val="00D73603"/>
    <w:rsid w:val="00D73631"/>
    <w:rsid w:val="00D73A0B"/>
    <w:rsid w:val="00D73B1E"/>
    <w:rsid w:val="00D73C63"/>
    <w:rsid w:val="00D73CAE"/>
    <w:rsid w:val="00D73FE1"/>
    <w:rsid w:val="00D741D7"/>
    <w:rsid w:val="00D74604"/>
    <w:rsid w:val="00D74611"/>
    <w:rsid w:val="00D74BC4"/>
    <w:rsid w:val="00D74C7D"/>
    <w:rsid w:val="00D74D15"/>
    <w:rsid w:val="00D756F8"/>
    <w:rsid w:val="00D759FA"/>
    <w:rsid w:val="00D75A4E"/>
    <w:rsid w:val="00D75DB7"/>
    <w:rsid w:val="00D76024"/>
    <w:rsid w:val="00D760AA"/>
    <w:rsid w:val="00D7622A"/>
    <w:rsid w:val="00D76252"/>
    <w:rsid w:val="00D767C0"/>
    <w:rsid w:val="00D767D7"/>
    <w:rsid w:val="00D7684D"/>
    <w:rsid w:val="00D76867"/>
    <w:rsid w:val="00D769AC"/>
    <w:rsid w:val="00D76CB3"/>
    <w:rsid w:val="00D76DD4"/>
    <w:rsid w:val="00D76E06"/>
    <w:rsid w:val="00D77024"/>
    <w:rsid w:val="00D77845"/>
    <w:rsid w:val="00D7790F"/>
    <w:rsid w:val="00D77C69"/>
    <w:rsid w:val="00D77F1E"/>
    <w:rsid w:val="00D80097"/>
    <w:rsid w:val="00D800CD"/>
    <w:rsid w:val="00D80278"/>
    <w:rsid w:val="00D80286"/>
    <w:rsid w:val="00D8040B"/>
    <w:rsid w:val="00D80964"/>
    <w:rsid w:val="00D80E13"/>
    <w:rsid w:val="00D80E73"/>
    <w:rsid w:val="00D81026"/>
    <w:rsid w:val="00D81C9B"/>
    <w:rsid w:val="00D82163"/>
    <w:rsid w:val="00D82213"/>
    <w:rsid w:val="00D822C6"/>
    <w:rsid w:val="00D822E5"/>
    <w:rsid w:val="00D823A7"/>
    <w:rsid w:val="00D8266B"/>
    <w:rsid w:val="00D827B9"/>
    <w:rsid w:val="00D8289E"/>
    <w:rsid w:val="00D8298B"/>
    <w:rsid w:val="00D829CB"/>
    <w:rsid w:val="00D82C4E"/>
    <w:rsid w:val="00D834AD"/>
    <w:rsid w:val="00D837B8"/>
    <w:rsid w:val="00D83AB9"/>
    <w:rsid w:val="00D83D03"/>
    <w:rsid w:val="00D845A1"/>
    <w:rsid w:val="00D84969"/>
    <w:rsid w:val="00D84A38"/>
    <w:rsid w:val="00D84B90"/>
    <w:rsid w:val="00D84DD8"/>
    <w:rsid w:val="00D8510A"/>
    <w:rsid w:val="00D8512D"/>
    <w:rsid w:val="00D85652"/>
    <w:rsid w:val="00D859FC"/>
    <w:rsid w:val="00D85AA4"/>
    <w:rsid w:val="00D85B7E"/>
    <w:rsid w:val="00D85B88"/>
    <w:rsid w:val="00D85CE3"/>
    <w:rsid w:val="00D8633F"/>
    <w:rsid w:val="00D8635B"/>
    <w:rsid w:val="00D866A6"/>
    <w:rsid w:val="00D869FA"/>
    <w:rsid w:val="00D86B2C"/>
    <w:rsid w:val="00D86BD1"/>
    <w:rsid w:val="00D86C2F"/>
    <w:rsid w:val="00D86D20"/>
    <w:rsid w:val="00D86DB3"/>
    <w:rsid w:val="00D86F48"/>
    <w:rsid w:val="00D86FB3"/>
    <w:rsid w:val="00D87161"/>
    <w:rsid w:val="00D87162"/>
    <w:rsid w:val="00D87303"/>
    <w:rsid w:val="00D873EB"/>
    <w:rsid w:val="00D87644"/>
    <w:rsid w:val="00D876AD"/>
    <w:rsid w:val="00D877CD"/>
    <w:rsid w:val="00D87873"/>
    <w:rsid w:val="00D87A10"/>
    <w:rsid w:val="00D87DAF"/>
    <w:rsid w:val="00D87DF6"/>
    <w:rsid w:val="00D87E7F"/>
    <w:rsid w:val="00D9015F"/>
    <w:rsid w:val="00D9037F"/>
    <w:rsid w:val="00D90414"/>
    <w:rsid w:val="00D90988"/>
    <w:rsid w:val="00D90B25"/>
    <w:rsid w:val="00D90D32"/>
    <w:rsid w:val="00D90F2C"/>
    <w:rsid w:val="00D914A0"/>
    <w:rsid w:val="00D91855"/>
    <w:rsid w:val="00D91D70"/>
    <w:rsid w:val="00D923C2"/>
    <w:rsid w:val="00D923F1"/>
    <w:rsid w:val="00D924E0"/>
    <w:rsid w:val="00D92670"/>
    <w:rsid w:val="00D93070"/>
    <w:rsid w:val="00D935EC"/>
    <w:rsid w:val="00D93800"/>
    <w:rsid w:val="00D93902"/>
    <w:rsid w:val="00D939F2"/>
    <w:rsid w:val="00D93C1D"/>
    <w:rsid w:val="00D93E03"/>
    <w:rsid w:val="00D93F85"/>
    <w:rsid w:val="00D94134"/>
    <w:rsid w:val="00D94581"/>
    <w:rsid w:val="00D94845"/>
    <w:rsid w:val="00D94A8C"/>
    <w:rsid w:val="00D94BBD"/>
    <w:rsid w:val="00D94D2F"/>
    <w:rsid w:val="00D95017"/>
    <w:rsid w:val="00D951BA"/>
    <w:rsid w:val="00D95264"/>
    <w:rsid w:val="00D953D1"/>
    <w:rsid w:val="00D954FA"/>
    <w:rsid w:val="00D957B4"/>
    <w:rsid w:val="00D95B69"/>
    <w:rsid w:val="00D95BF4"/>
    <w:rsid w:val="00D95C92"/>
    <w:rsid w:val="00D963F4"/>
    <w:rsid w:val="00D9640A"/>
    <w:rsid w:val="00D96551"/>
    <w:rsid w:val="00D9674F"/>
    <w:rsid w:val="00D96ABB"/>
    <w:rsid w:val="00D96D8C"/>
    <w:rsid w:val="00D96E2E"/>
    <w:rsid w:val="00D97046"/>
    <w:rsid w:val="00D97144"/>
    <w:rsid w:val="00D97281"/>
    <w:rsid w:val="00D973E7"/>
    <w:rsid w:val="00D97429"/>
    <w:rsid w:val="00D97948"/>
    <w:rsid w:val="00D979E4"/>
    <w:rsid w:val="00D97C77"/>
    <w:rsid w:val="00D97D13"/>
    <w:rsid w:val="00D97FE0"/>
    <w:rsid w:val="00DA03DF"/>
    <w:rsid w:val="00DA05D9"/>
    <w:rsid w:val="00DA0623"/>
    <w:rsid w:val="00DA0643"/>
    <w:rsid w:val="00DA06FD"/>
    <w:rsid w:val="00DA0754"/>
    <w:rsid w:val="00DA0AF0"/>
    <w:rsid w:val="00DA0EE2"/>
    <w:rsid w:val="00DA0F82"/>
    <w:rsid w:val="00DA11BA"/>
    <w:rsid w:val="00DA15AE"/>
    <w:rsid w:val="00DA1797"/>
    <w:rsid w:val="00DA1800"/>
    <w:rsid w:val="00DA1868"/>
    <w:rsid w:val="00DA19B3"/>
    <w:rsid w:val="00DA20F6"/>
    <w:rsid w:val="00DA2637"/>
    <w:rsid w:val="00DA2716"/>
    <w:rsid w:val="00DA393B"/>
    <w:rsid w:val="00DA3E0E"/>
    <w:rsid w:val="00DA3EA4"/>
    <w:rsid w:val="00DA3FE5"/>
    <w:rsid w:val="00DA40C1"/>
    <w:rsid w:val="00DA433B"/>
    <w:rsid w:val="00DA4608"/>
    <w:rsid w:val="00DA48E3"/>
    <w:rsid w:val="00DA49CF"/>
    <w:rsid w:val="00DA49D6"/>
    <w:rsid w:val="00DA4D48"/>
    <w:rsid w:val="00DA4E01"/>
    <w:rsid w:val="00DA5207"/>
    <w:rsid w:val="00DA54F6"/>
    <w:rsid w:val="00DA58C2"/>
    <w:rsid w:val="00DA5A83"/>
    <w:rsid w:val="00DA63AB"/>
    <w:rsid w:val="00DA6619"/>
    <w:rsid w:val="00DA66C0"/>
    <w:rsid w:val="00DA6CB6"/>
    <w:rsid w:val="00DA6D1A"/>
    <w:rsid w:val="00DA70AC"/>
    <w:rsid w:val="00DA7129"/>
    <w:rsid w:val="00DA7197"/>
    <w:rsid w:val="00DA757C"/>
    <w:rsid w:val="00DA75E6"/>
    <w:rsid w:val="00DA7624"/>
    <w:rsid w:val="00DA7646"/>
    <w:rsid w:val="00DB0056"/>
    <w:rsid w:val="00DB0193"/>
    <w:rsid w:val="00DB01B9"/>
    <w:rsid w:val="00DB028F"/>
    <w:rsid w:val="00DB07E1"/>
    <w:rsid w:val="00DB0C06"/>
    <w:rsid w:val="00DB11E3"/>
    <w:rsid w:val="00DB1B30"/>
    <w:rsid w:val="00DB1B8B"/>
    <w:rsid w:val="00DB1CC9"/>
    <w:rsid w:val="00DB1E2A"/>
    <w:rsid w:val="00DB2264"/>
    <w:rsid w:val="00DB2721"/>
    <w:rsid w:val="00DB28F9"/>
    <w:rsid w:val="00DB2903"/>
    <w:rsid w:val="00DB298B"/>
    <w:rsid w:val="00DB2BB4"/>
    <w:rsid w:val="00DB31FD"/>
    <w:rsid w:val="00DB32C5"/>
    <w:rsid w:val="00DB3917"/>
    <w:rsid w:val="00DB3A60"/>
    <w:rsid w:val="00DB3CB1"/>
    <w:rsid w:val="00DB4133"/>
    <w:rsid w:val="00DB427E"/>
    <w:rsid w:val="00DB4356"/>
    <w:rsid w:val="00DB44C1"/>
    <w:rsid w:val="00DB476D"/>
    <w:rsid w:val="00DB481C"/>
    <w:rsid w:val="00DB4A9B"/>
    <w:rsid w:val="00DB4CB1"/>
    <w:rsid w:val="00DB54DB"/>
    <w:rsid w:val="00DB5754"/>
    <w:rsid w:val="00DB5A65"/>
    <w:rsid w:val="00DB5B2E"/>
    <w:rsid w:val="00DB5C9C"/>
    <w:rsid w:val="00DB5D2F"/>
    <w:rsid w:val="00DB5E61"/>
    <w:rsid w:val="00DB5EA1"/>
    <w:rsid w:val="00DB6468"/>
    <w:rsid w:val="00DB683B"/>
    <w:rsid w:val="00DB688E"/>
    <w:rsid w:val="00DB696D"/>
    <w:rsid w:val="00DB6BD1"/>
    <w:rsid w:val="00DB6C28"/>
    <w:rsid w:val="00DB6DC5"/>
    <w:rsid w:val="00DB72C9"/>
    <w:rsid w:val="00DB7608"/>
    <w:rsid w:val="00DB7A24"/>
    <w:rsid w:val="00DB7B81"/>
    <w:rsid w:val="00DB7D61"/>
    <w:rsid w:val="00DB7F85"/>
    <w:rsid w:val="00DB7FC8"/>
    <w:rsid w:val="00DC0212"/>
    <w:rsid w:val="00DC0291"/>
    <w:rsid w:val="00DC05F8"/>
    <w:rsid w:val="00DC0653"/>
    <w:rsid w:val="00DC0679"/>
    <w:rsid w:val="00DC0738"/>
    <w:rsid w:val="00DC07E1"/>
    <w:rsid w:val="00DC0A6D"/>
    <w:rsid w:val="00DC0B5C"/>
    <w:rsid w:val="00DC0DD7"/>
    <w:rsid w:val="00DC1026"/>
    <w:rsid w:val="00DC182E"/>
    <w:rsid w:val="00DC18BF"/>
    <w:rsid w:val="00DC1A20"/>
    <w:rsid w:val="00DC1A3A"/>
    <w:rsid w:val="00DC1B33"/>
    <w:rsid w:val="00DC2014"/>
    <w:rsid w:val="00DC23E7"/>
    <w:rsid w:val="00DC2543"/>
    <w:rsid w:val="00DC2A93"/>
    <w:rsid w:val="00DC2C3E"/>
    <w:rsid w:val="00DC3A69"/>
    <w:rsid w:val="00DC3E56"/>
    <w:rsid w:val="00DC4180"/>
    <w:rsid w:val="00DC438A"/>
    <w:rsid w:val="00DC4404"/>
    <w:rsid w:val="00DC44B5"/>
    <w:rsid w:val="00DC4553"/>
    <w:rsid w:val="00DC4AE0"/>
    <w:rsid w:val="00DC4F5F"/>
    <w:rsid w:val="00DC53E8"/>
    <w:rsid w:val="00DC54FC"/>
    <w:rsid w:val="00DC60F2"/>
    <w:rsid w:val="00DC6133"/>
    <w:rsid w:val="00DC64D6"/>
    <w:rsid w:val="00DC66B2"/>
    <w:rsid w:val="00DC675C"/>
    <w:rsid w:val="00DC69D3"/>
    <w:rsid w:val="00DC7412"/>
    <w:rsid w:val="00DC7434"/>
    <w:rsid w:val="00DC781C"/>
    <w:rsid w:val="00DC7838"/>
    <w:rsid w:val="00DC79A5"/>
    <w:rsid w:val="00DC7E46"/>
    <w:rsid w:val="00DC7F9A"/>
    <w:rsid w:val="00DC7FCA"/>
    <w:rsid w:val="00DD015C"/>
    <w:rsid w:val="00DD01FE"/>
    <w:rsid w:val="00DD09CD"/>
    <w:rsid w:val="00DD09F4"/>
    <w:rsid w:val="00DD0B4F"/>
    <w:rsid w:val="00DD0D2A"/>
    <w:rsid w:val="00DD1271"/>
    <w:rsid w:val="00DD13AF"/>
    <w:rsid w:val="00DD1550"/>
    <w:rsid w:val="00DD156F"/>
    <w:rsid w:val="00DD15B6"/>
    <w:rsid w:val="00DD186E"/>
    <w:rsid w:val="00DD2143"/>
    <w:rsid w:val="00DD2271"/>
    <w:rsid w:val="00DD2374"/>
    <w:rsid w:val="00DD238C"/>
    <w:rsid w:val="00DD27DF"/>
    <w:rsid w:val="00DD282F"/>
    <w:rsid w:val="00DD29F6"/>
    <w:rsid w:val="00DD2BF9"/>
    <w:rsid w:val="00DD2F58"/>
    <w:rsid w:val="00DD2FFD"/>
    <w:rsid w:val="00DD3026"/>
    <w:rsid w:val="00DD308C"/>
    <w:rsid w:val="00DD31B0"/>
    <w:rsid w:val="00DD32BD"/>
    <w:rsid w:val="00DD3A3F"/>
    <w:rsid w:val="00DD3C25"/>
    <w:rsid w:val="00DD3C5F"/>
    <w:rsid w:val="00DD4168"/>
    <w:rsid w:val="00DD456F"/>
    <w:rsid w:val="00DD4691"/>
    <w:rsid w:val="00DD46B8"/>
    <w:rsid w:val="00DD4F24"/>
    <w:rsid w:val="00DD50B8"/>
    <w:rsid w:val="00DD50EA"/>
    <w:rsid w:val="00DD51D5"/>
    <w:rsid w:val="00DD5389"/>
    <w:rsid w:val="00DD5505"/>
    <w:rsid w:val="00DD5706"/>
    <w:rsid w:val="00DD57F7"/>
    <w:rsid w:val="00DD585C"/>
    <w:rsid w:val="00DD5922"/>
    <w:rsid w:val="00DD5A51"/>
    <w:rsid w:val="00DD5A62"/>
    <w:rsid w:val="00DD5CB8"/>
    <w:rsid w:val="00DD5F42"/>
    <w:rsid w:val="00DD5FCD"/>
    <w:rsid w:val="00DD6017"/>
    <w:rsid w:val="00DD6899"/>
    <w:rsid w:val="00DD68A5"/>
    <w:rsid w:val="00DD6C8E"/>
    <w:rsid w:val="00DD727C"/>
    <w:rsid w:val="00DD72BD"/>
    <w:rsid w:val="00DD7551"/>
    <w:rsid w:val="00DD7621"/>
    <w:rsid w:val="00DD7834"/>
    <w:rsid w:val="00DD786B"/>
    <w:rsid w:val="00DD7C47"/>
    <w:rsid w:val="00DD7D57"/>
    <w:rsid w:val="00DE05E8"/>
    <w:rsid w:val="00DE0855"/>
    <w:rsid w:val="00DE08AC"/>
    <w:rsid w:val="00DE0AC6"/>
    <w:rsid w:val="00DE0BF1"/>
    <w:rsid w:val="00DE0C04"/>
    <w:rsid w:val="00DE1213"/>
    <w:rsid w:val="00DE1332"/>
    <w:rsid w:val="00DE14E2"/>
    <w:rsid w:val="00DE1795"/>
    <w:rsid w:val="00DE189E"/>
    <w:rsid w:val="00DE1953"/>
    <w:rsid w:val="00DE1D33"/>
    <w:rsid w:val="00DE1DFD"/>
    <w:rsid w:val="00DE2103"/>
    <w:rsid w:val="00DE211C"/>
    <w:rsid w:val="00DE2772"/>
    <w:rsid w:val="00DE29AB"/>
    <w:rsid w:val="00DE29B3"/>
    <w:rsid w:val="00DE29CA"/>
    <w:rsid w:val="00DE30A6"/>
    <w:rsid w:val="00DE3130"/>
    <w:rsid w:val="00DE33C1"/>
    <w:rsid w:val="00DE3932"/>
    <w:rsid w:val="00DE3C85"/>
    <w:rsid w:val="00DE3D51"/>
    <w:rsid w:val="00DE415B"/>
    <w:rsid w:val="00DE4962"/>
    <w:rsid w:val="00DE4993"/>
    <w:rsid w:val="00DE50B5"/>
    <w:rsid w:val="00DE5272"/>
    <w:rsid w:val="00DE57A2"/>
    <w:rsid w:val="00DE5805"/>
    <w:rsid w:val="00DE5C13"/>
    <w:rsid w:val="00DE5D5A"/>
    <w:rsid w:val="00DE5DD9"/>
    <w:rsid w:val="00DE61A5"/>
    <w:rsid w:val="00DE62F8"/>
    <w:rsid w:val="00DE64FC"/>
    <w:rsid w:val="00DE65C9"/>
    <w:rsid w:val="00DE6F1E"/>
    <w:rsid w:val="00DE6F6E"/>
    <w:rsid w:val="00DE7083"/>
    <w:rsid w:val="00DE735A"/>
    <w:rsid w:val="00DE7631"/>
    <w:rsid w:val="00DE7669"/>
    <w:rsid w:val="00DE7764"/>
    <w:rsid w:val="00DE778F"/>
    <w:rsid w:val="00DE7AE7"/>
    <w:rsid w:val="00DE7F42"/>
    <w:rsid w:val="00DF0078"/>
    <w:rsid w:val="00DF0602"/>
    <w:rsid w:val="00DF095E"/>
    <w:rsid w:val="00DF09FF"/>
    <w:rsid w:val="00DF0BBC"/>
    <w:rsid w:val="00DF0D55"/>
    <w:rsid w:val="00DF0E17"/>
    <w:rsid w:val="00DF138E"/>
    <w:rsid w:val="00DF180C"/>
    <w:rsid w:val="00DF1D2A"/>
    <w:rsid w:val="00DF1DC3"/>
    <w:rsid w:val="00DF1F45"/>
    <w:rsid w:val="00DF1F7D"/>
    <w:rsid w:val="00DF203B"/>
    <w:rsid w:val="00DF20A9"/>
    <w:rsid w:val="00DF20DB"/>
    <w:rsid w:val="00DF2228"/>
    <w:rsid w:val="00DF25E0"/>
    <w:rsid w:val="00DF26D5"/>
    <w:rsid w:val="00DF278B"/>
    <w:rsid w:val="00DF27BA"/>
    <w:rsid w:val="00DF2A39"/>
    <w:rsid w:val="00DF2C48"/>
    <w:rsid w:val="00DF2F7B"/>
    <w:rsid w:val="00DF31D9"/>
    <w:rsid w:val="00DF331F"/>
    <w:rsid w:val="00DF333E"/>
    <w:rsid w:val="00DF36C3"/>
    <w:rsid w:val="00DF3954"/>
    <w:rsid w:val="00DF3988"/>
    <w:rsid w:val="00DF39EE"/>
    <w:rsid w:val="00DF3CA0"/>
    <w:rsid w:val="00DF3FAA"/>
    <w:rsid w:val="00DF416C"/>
    <w:rsid w:val="00DF41F0"/>
    <w:rsid w:val="00DF4389"/>
    <w:rsid w:val="00DF43B2"/>
    <w:rsid w:val="00DF440A"/>
    <w:rsid w:val="00DF47E9"/>
    <w:rsid w:val="00DF5203"/>
    <w:rsid w:val="00DF5238"/>
    <w:rsid w:val="00DF540A"/>
    <w:rsid w:val="00DF554B"/>
    <w:rsid w:val="00DF5833"/>
    <w:rsid w:val="00DF584A"/>
    <w:rsid w:val="00DF5984"/>
    <w:rsid w:val="00DF5A0E"/>
    <w:rsid w:val="00DF5DB9"/>
    <w:rsid w:val="00DF5FAC"/>
    <w:rsid w:val="00DF6267"/>
    <w:rsid w:val="00DF6395"/>
    <w:rsid w:val="00DF644B"/>
    <w:rsid w:val="00DF6530"/>
    <w:rsid w:val="00DF65C1"/>
    <w:rsid w:val="00DF6612"/>
    <w:rsid w:val="00DF695E"/>
    <w:rsid w:val="00DF6960"/>
    <w:rsid w:val="00DF6971"/>
    <w:rsid w:val="00DF6A0E"/>
    <w:rsid w:val="00DF6EE3"/>
    <w:rsid w:val="00DF706D"/>
    <w:rsid w:val="00DF7373"/>
    <w:rsid w:val="00DF740C"/>
    <w:rsid w:val="00DF74FC"/>
    <w:rsid w:val="00DF7672"/>
    <w:rsid w:val="00DF7AA0"/>
    <w:rsid w:val="00DF7BDB"/>
    <w:rsid w:val="00DF7E90"/>
    <w:rsid w:val="00DF7EEC"/>
    <w:rsid w:val="00E00025"/>
    <w:rsid w:val="00E0007E"/>
    <w:rsid w:val="00E00318"/>
    <w:rsid w:val="00E00435"/>
    <w:rsid w:val="00E004EE"/>
    <w:rsid w:val="00E007A4"/>
    <w:rsid w:val="00E00B7C"/>
    <w:rsid w:val="00E00C4C"/>
    <w:rsid w:val="00E00D34"/>
    <w:rsid w:val="00E00F53"/>
    <w:rsid w:val="00E00F5A"/>
    <w:rsid w:val="00E011BA"/>
    <w:rsid w:val="00E01271"/>
    <w:rsid w:val="00E01469"/>
    <w:rsid w:val="00E0155A"/>
    <w:rsid w:val="00E01A6D"/>
    <w:rsid w:val="00E01BB6"/>
    <w:rsid w:val="00E01C58"/>
    <w:rsid w:val="00E01F12"/>
    <w:rsid w:val="00E01F80"/>
    <w:rsid w:val="00E02243"/>
    <w:rsid w:val="00E022B3"/>
    <w:rsid w:val="00E022EE"/>
    <w:rsid w:val="00E0235F"/>
    <w:rsid w:val="00E02613"/>
    <w:rsid w:val="00E02698"/>
    <w:rsid w:val="00E0289B"/>
    <w:rsid w:val="00E02936"/>
    <w:rsid w:val="00E02CF8"/>
    <w:rsid w:val="00E032C8"/>
    <w:rsid w:val="00E0334A"/>
    <w:rsid w:val="00E03AC1"/>
    <w:rsid w:val="00E03F9C"/>
    <w:rsid w:val="00E046DB"/>
    <w:rsid w:val="00E0477D"/>
    <w:rsid w:val="00E04A84"/>
    <w:rsid w:val="00E04D19"/>
    <w:rsid w:val="00E04D80"/>
    <w:rsid w:val="00E0522C"/>
    <w:rsid w:val="00E05342"/>
    <w:rsid w:val="00E056F4"/>
    <w:rsid w:val="00E0586F"/>
    <w:rsid w:val="00E05A00"/>
    <w:rsid w:val="00E05C4C"/>
    <w:rsid w:val="00E0616C"/>
    <w:rsid w:val="00E062A6"/>
    <w:rsid w:val="00E06626"/>
    <w:rsid w:val="00E06916"/>
    <w:rsid w:val="00E06C2C"/>
    <w:rsid w:val="00E07104"/>
    <w:rsid w:val="00E07296"/>
    <w:rsid w:val="00E075C5"/>
    <w:rsid w:val="00E07818"/>
    <w:rsid w:val="00E07A44"/>
    <w:rsid w:val="00E07E1B"/>
    <w:rsid w:val="00E07FF1"/>
    <w:rsid w:val="00E10571"/>
    <w:rsid w:val="00E10637"/>
    <w:rsid w:val="00E109F6"/>
    <w:rsid w:val="00E10ABF"/>
    <w:rsid w:val="00E10AF8"/>
    <w:rsid w:val="00E10DBF"/>
    <w:rsid w:val="00E110C4"/>
    <w:rsid w:val="00E1116C"/>
    <w:rsid w:val="00E111AD"/>
    <w:rsid w:val="00E11364"/>
    <w:rsid w:val="00E11506"/>
    <w:rsid w:val="00E115B5"/>
    <w:rsid w:val="00E11650"/>
    <w:rsid w:val="00E116CA"/>
    <w:rsid w:val="00E11996"/>
    <w:rsid w:val="00E11DB5"/>
    <w:rsid w:val="00E120EB"/>
    <w:rsid w:val="00E1242F"/>
    <w:rsid w:val="00E1264D"/>
    <w:rsid w:val="00E128D9"/>
    <w:rsid w:val="00E12D02"/>
    <w:rsid w:val="00E12D15"/>
    <w:rsid w:val="00E12DE4"/>
    <w:rsid w:val="00E12F75"/>
    <w:rsid w:val="00E12FC5"/>
    <w:rsid w:val="00E137D7"/>
    <w:rsid w:val="00E13827"/>
    <w:rsid w:val="00E13885"/>
    <w:rsid w:val="00E13990"/>
    <w:rsid w:val="00E13B00"/>
    <w:rsid w:val="00E13B40"/>
    <w:rsid w:val="00E13B5E"/>
    <w:rsid w:val="00E13C19"/>
    <w:rsid w:val="00E13E03"/>
    <w:rsid w:val="00E13E79"/>
    <w:rsid w:val="00E14079"/>
    <w:rsid w:val="00E145E4"/>
    <w:rsid w:val="00E14840"/>
    <w:rsid w:val="00E14AD3"/>
    <w:rsid w:val="00E14DCD"/>
    <w:rsid w:val="00E1526B"/>
    <w:rsid w:val="00E1532D"/>
    <w:rsid w:val="00E15415"/>
    <w:rsid w:val="00E156DD"/>
    <w:rsid w:val="00E1577D"/>
    <w:rsid w:val="00E15A05"/>
    <w:rsid w:val="00E15F8D"/>
    <w:rsid w:val="00E16298"/>
    <w:rsid w:val="00E1639F"/>
    <w:rsid w:val="00E16593"/>
    <w:rsid w:val="00E16629"/>
    <w:rsid w:val="00E167B3"/>
    <w:rsid w:val="00E1682C"/>
    <w:rsid w:val="00E16841"/>
    <w:rsid w:val="00E16A29"/>
    <w:rsid w:val="00E16A2C"/>
    <w:rsid w:val="00E17143"/>
    <w:rsid w:val="00E1742D"/>
    <w:rsid w:val="00E17542"/>
    <w:rsid w:val="00E17936"/>
    <w:rsid w:val="00E17B4A"/>
    <w:rsid w:val="00E17C0D"/>
    <w:rsid w:val="00E2020F"/>
    <w:rsid w:val="00E202F4"/>
    <w:rsid w:val="00E2042A"/>
    <w:rsid w:val="00E20714"/>
    <w:rsid w:val="00E20C53"/>
    <w:rsid w:val="00E20C62"/>
    <w:rsid w:val="00E20CA1"/>
    <w:rsid w:val="00E20F18"/>
    <w:rsid w:val="00E210EE"/>
    <w:rsid w:val="00E21107"/>
    <w:rsid w:val="00E211B6"/>
    <w:rsid w:val="00E212D7"/>
    <w:rsid w:val="00E21498"/>
    <w:rsid w:val="00E21554"/>
    <w:rsid w:val="00E21A63"/>
    <w:rsid w:val="00E21A6B"/>
    <w:rsid w:val="00E21F61"/>
    <w:rsid w:val="00E22163"/>
    <w:rsid w:val="00E22422"/>
    <w:rsid w:val="00E225B3"/>
    <w:rsid w:val="00E22608"/>
    <w:rsid w:val="00E226B1"/>
    <w:rsid w:val="00E22929"/>
    <w:rsid w:val="00E22987"/>
    <w:rsid w:val="00E229BB"/>
    <w:rsid w:val="00E22AE0"/>
    <w:rsid w:val="00E22BAA"/>
    <w:rsid w:val="00E22EB3"/>
    <w:rsid w:val="00E22F30"/>
    <w:rsid w:val="00E230FB"/>
    <w:rsid w:val="00E2329D"/>
    <w:rsid w:val="00E23442"/>
    <w:rsid w:val="00E23467"/>
    <w:rsid w:val="00E238B1"/>
    <w:rsid w:val="00E23A9A"/>
    <w:rsid w:val="00E23ABE"/>
    <w:rsid w:val="00E23D9A"/>
    <w:rsid w:val="00E242A0"/>
    <w:rsid w:val="00E24530"/>
    <w:rsid w:val="00E2514F"/>
    <w:rsid w:val="00E2515D"/>
    <w:rsid w:val="00E251F5"/>
    <w:rsid w:val="00E252CE"/>
    <w:rsid w:val="00E25920"/>
    <w:rsid w:val="00E259C5"/>
    <w:rsid w:val="00E25A4E"/>
    <w:rsid w:val="00E25A5F"/>
    <w:rsid w:val="00E25AAD"/>
    <w:rsid w:val="00E25D35"/>
    <w:rsid w:val="00E25F1A"/>
    <w:rsid w:val="00E25FF7"/>
    <w:rsid w:val="00E261EB"/>
    <w:rsid w:val="00E262B7"/>
    <w:rsid w:val="00E26304"/>
    <w:rsid w:val="00E26450"/>
    <w:rsid w:val="00E26464"/>
    <w:rsid w:val="00E26A80"/>
    <w:rsid w:val="00E26B63"/>
    <w:rsid w:val="00E26BA7"/>
    <w:rsid w:val="00E26D33"/>
    <w:rsid w:val="00E26EDC"/>
    <w:rsid w:val="00E27025"/>
    <w:rsid w:val="00E270E9"/>
    <w:rsid w:val="00E27101"/>
    <w:rsid w:val="00E27430"/>
    <w:rsid w:val="00E2757A"/>
    <w:rsid w:val="00E2786B"/>
    <w:rsid w:val="00E27C20"/>
    <w:rsid w:val="00E27F04"/>
    <w:rsid w:val="00E3071D"/>
    <w:rsid w:val="00E30791"/>
    <w:rsid w:val="00E308C2"/>
    <w:rsid w:val="00E30EA3"/>
    <w:rsid w:val="00E3116D"/>
    <w:rsid w:val="00E31299"/>
    <w:rsid w:val="00E312E9"/>
    <w:rsid w:val="00E312F6"/>
    <w:rsid w:val="00E3198C"/>
    <w:rsid w:val="00E31AD2"/>
    <w:rsid w:val="00E31DD2"/>
    <w:rsid w:val="00E321C2"/>
    <w:rsid w:val="00E322FA"/>
    <w:rsid w:val="00E323D5"/>
    <w:rsid w:val="00E32790"/>
    <w:rsid w:val="00E328D1"/>
    <w:rsid w:val="00E32902"/>
    <w:rsid w:val="00E32AC6"/>
    <w:rsid w:val="00E32C01"/>
    <w:rsid w:val="00E33018"/>
    <w:rsid w:val="00E33086"/>
    <w:rsid w:val="00E333FB"/>
    <w:rsid w:val="00E334AC"/>
    <w:rsid w:val="00E33507"/>
    <w:rsid w:val="00E33608"/>
    <w:rsid w:val="00E336A0"/>
    <w:rsid w:val="00E3397D"/>
    <w:rsid w:val="00E33AF3"/>
    <w:rsid w:val="00E33B88"/>
    <w:rsid w:val="00E33D85"/>
    <w:rsid w:val="00E33E9F"/>
    <w:rsid w:val="00E34DF0"/>
    <w:rsid w:val="00E352D0"/>
    <w:rsid w:val="00E35485"/>
    <w:rsid w:val="00E35623"/>
    <w:rsid w:val="00E35696"/>
    <w:rsid w:val="00E3583E"/>
    <w:rsid w:val="00E35AD2"/>
    <w:rsid w:val="00E35DDE"/>
    <w:rsid w:val="00E35E67"/>
    <w:rsid w:val="00E363E5"/>
    <w:rsid w:val="00E36B4D"/>
    <w:rsid w:val="00E36B7F"/>
    <w:rsid w:val="00E36E92"/>
    <w:rsid w:val="00E36EDE"/>
    <w:rsid w:val="00E37122"/>
    <w:rsid w:val="00E374A5"/>
    <w:rsid w:val="00E377F6"/>
    <w:rsid w:val="00E3789C"/>
    <w:rsid w:val="00E379CE"/>
    <w:rsid w:val="00E37B36"/>
    <w:rsid w:val="00E37BE7"/>
    <w:rsid w:val="00E37D29"/>
    <w:rsid w:val="00E37FD9"/>
    <w:rsid w:val="00E4012F"/>
    <w:rsid w:val="00E40396"/>
    <w:rsid w:val="00E40AEA"/>
    <w:rsid w:val="00E40CA5"/>
    <w:rsid w:val="00E40EFB"/>
    <w:rsid w:val="00E41865"/>
    <w:rsid w:val="00E418F6"/>
    <w:rsid w:val="00E41A2D"/>
    <w:rsid w:val="00E41BB0"/>
    <w:rsid w:val="00E41C75"/>
    <w:rsid w:val="00E41E33"/>
    <w:rsid w:val="00E41F3A"/>
    <w:rsid w:val="00E41F3D"/>
    <w:rsid w:val="00E4232A"/>
    <w:rsid w:val="00E42437"/>
    <w:rsid w:val="00E424B0"/>
    <w:rsid w:val="00E4256E"/>
    <w:rsid w:val="00E425D4"/>
    <w:rsid w:val="00E4262C"/>
    <w:rsid w:val="00E42781"/>
    <w:rsid w:val="00E427E3"/>
    <w:rsid w:val="00E42A16"/>
    <w:rsid w:val="00E42CB8"/>
    <w:rsid w:val="00E42FAE"/>
    <w:rsid w:val="00E43246"/>
    <w:rsid w:val="00E4338F"/>
    <w:rsid w:val="00E4375B"/>
    <w:rsid w:val="00E43BEF"/>
    <w:rsid w:val="00E44138"/>
    <w:rsid w:val="00E442A9"/>
    <w:rsid w:val="00E44C34"/>
    <w:rsid w:val="00E44F7D"/>
    <w:rsid w:val="00E454B2"/>
    <w:rsid w:val="00E456EE"/>
    <w:rsid w:val="00E45998"/>
    <w:rsid w:val="00E46028"/>
    <w:rsid w:val="00E4611F"/>
    <w:rsid w:val="00E4656A"/>
    <w:rsid w:val="00E466F5"/>
    <w:rsid w:val="00E46AAF"/>
    <w:rsid w:val="00E46E99"/>
    <w:rsid w:val="00E4732D"/>
    <w:rsid w:val="00E47386"/>
    <w:rsid w:val="00E4766C"/>
    <w:rsid w:val="00E47894"/>
    <w:rsid w:val="00E47D23"/>
    <w:rsid w:val="00E5005C"/>
    <w:rsid w:val="00E500D3"/>
    <w:rsid w:val="00E5020F"/>
    <w:rsid w:val="00E5032F"/>
    <w:rsid w:val="00E50542"/>
    <w:rsid w:val="00E50712"/>
    <w:rsid w:val="00E50861"/>
    <w:rsid w:val="00E5097F"/>
    <w:rsid w:val="00E50C8A"/>
    <w:rsid w:val="00E50CB0"/>
    <w:rsid w:val="00E50E3B"/>
    <w:rsid w:val="00E50F6B"/>
    <w:rsid w:val="00E51271"/>
    <w:rsid w:val="00E51531"/>
    <w:rsid w:val="00E518D2"/>
    <w:rsid w:val="00E51A09"/>
    <w:rsid w:val="00E51C38"/>
    <w:rsid w:val="00E51D68"/>
    <w:rsid w:val="00E52181"/>
    <w:rsid w:val="00E52189"/>
    <w:rsid w:val="00E52577"/>
    <w:rsid w:val="00E52847"/>
    <w:rsid w:val="00E528F0"/>
    <w:rsid w:val="00E529B3"/>
    <w:rsid w:val="00E52A40"/>
    <w:rsid w:val="00E52CF4"/>
    <w:rsid w:val="00E52F6E"/>
    <w:rsid w:val="00E53166"/>
    <w:rsid w:val="00E5364F"/>
    <w:rsid w:val="00E5386B"/>
    <w:rsid w:val="00E539AF"/>
    <w:rsid w:val="00E53A05"/>
    <w:rsid w:val="00E54AAB"/>
    <w:rsid w:val="00E54F0A"/>
    <w:rsid w:val="00E54F80"/>
    <w:rsid w:val="00E55392"/>
    <w:rsid w:val="00E557C1"/>
    <w:rsid w:val="00E55AFC"/>
    <w:rsid w:val="00E55BBD"/>
    <w:rsid w:val="00E55E7B"/>
    <w:rsid w:val="00E55FF2"/>
    <w:rsid w:val="00E56248"/>
    <w:rsid w:val="00E56273"/>
    <w:rsid w:val="00E5658A"/>
    <w:rsid w:val="00E5682A"/>
    <w:rsid w:val="00E57389"/>
    <w:rsid w:val="00E5742C"/>
    <w:rsid w:val="00E57C39"/>
    <w:rsid w:val="00E57D29"/>
    <w:rsid w:val="00E57DC9"/>
    <w:rsid w:val="00E57EFE"/>
    <w:rsid w:val="00E60186"/>
    <w:rsid w:val="00E6049F"/>
    <w:rsid w:val="00E60516"/>
    <w:rsid w:val="00E6085F"/>
    <w:rsid w:val="00E60999"/>
    <w:rsid w:val="00E60AEB"/>
    <w:rsid w:val="00E60C9C"/>
    <w:rsid w:val="00E61056"/>
    <w:rsid w:val="00E6180E"/>
    <w:rsid w:val="00E62027"/>
    <w:rsid w:val="00E62205"/>
    <w:rsid w:val="00E6227A"/>
    <w:rsid w:val="00E62293"/>
    <w:rsid w:val="00E624AE"/>
    <w:rsid w:val="00E62720"/>
    <w:rsid w:val="00E62780"/>
    <w:rsid w:val="00E62BD4"/>
    <w:rsid w:val="00E62CD3"/>
    <w:rsid w:val="00E62D89"/>
    <w:rsid w:val="00E630C5"/>
    <w:rsid w:val="00E63297"/>
    <w:rsid w:val="00E6331D"/>
    <w:rsid w:val="00E633B8"/>
    <w:rsid w:val="00E63727"/>
    <w:rsid w:val="00E6392F"/>
    <w:rsid w:val="00E6429E"/>
    <w:rsid w:val="00E64593"/>
    <w:rsid w:val="00E645B8"/>
    <w:rsid w:val="00E64955"/>
    <w:rsid w:val="00E64A64"/>
    <w:rsid w:val="00E651EB"/>
    <w:rsid w:val="00E6534B"/>
    <w:rsid w:val="00E65389"/>
    <w:rsid w:val="00E656AE"/>
    <w:rsid w:val="00E65758"/>
    <w:rsid w:val="00E657B7"/>
    <w:rsid w:val="00E6597B"/>
    <w:rsid w:val="00E65980"/>
    <w:rsid w:val="00E65A79"/>
    <w:rsid w:val="00E65BDE"/>
    <w:rsid w:val="00E65CE0"/>
    <w:rsid w:val="00E65FB2"/>
    <w:rsid w:val="00E6610F"/>
    <w:rsid w:val="00E6622C"/>
    <w:rsid w:val="00E66368"/>
    <w:rsid w:val="00E665C5"/>
    <w:rsid w:val="00E665CD"/>
    <w:rsid w:val="00E66626"/>
    <w:rsid w:val="00E6675D"/>
    <w:rsid w:val="00E668EF"/>
    <w:rsid w:val="00E6694B"/>
    <w:rsid w:val="00E66952"/>
    <w:rsid w:val="00E66FD3"/>
    <w:rsid w:val="00E67189"/>
    <w:rsid w:val="00E67577"/>
    <w:rsid w:val="00E67B3F"/>
    <w:rsid w:val="00E67BEC"/>
    <w:rsid w:val="00E67D9D"/>
    <w:rsid w:val="00E70331"/>
    <w:rsid w:val="00E70534"/>
    <w:rsid w:val="00E705DE"/>
    <w:rsid w:val="00E70708"/>
    <w:rsid w:val="00E70796"/>
    <w:rsid w:val="00E7097A"/>
    <w:rsid w:val="00E70F5F"/>
    <w:rsid w:val="00E70F69"/>
    <w:rsid w:val="00E70FAB"/>
    <w:rsid w:val="00E71283"/>
    <w:rsid w:val="00E71729"/>
    <w:rsid w:val="00E71780"/>
    <w:rsid w:val="00E717AD"/>
    <w:rsid w:val="00E71883"/>
    <w:rsid w:val="00E7190A"/>
    <w:rsid w:val="00E71A27"/>
    <w:rsid w:val="00E71B3F"/>
    <w:rsid w:val="00E71DEF"/>
    <w:rsid w:val="00E71FF0"/>
    <w:rsid w:val="00E721E6"/>
    <w:rsid w:val="00E72417"/>
    <w:rsid w:val="00E72627"/>
    <w:rsid w:val="00E72642"/>
    <w:rsid w:val="00E72837"/>
    <w:rsid w:val="00E72842"/>
    <w:rsid w:val="00E72C7E"/>
    <w:rsid w:val="00E730D4"/>
    <w:rsid w:val="00E7326C"/>
    <w:rsid w:val="00E7372E"/>
    <w:rsid w:val="00E738CF"/>
    <w:rsid w:val="00E73902"/>
    <w:rsid w:val="00E73906"/>
    <w:rsid w:val="00E73921"/>
    <w:rsid w:val="00E73BED"/>
    <w:rsid w:val="00E73C6C"/>
    <w:rsid w:val="00E73DCE"/>
    <w:rsid w:val="00E742C1"/>
    <w:rsid w:val="00E744D2"/>
    <w:rsid w:val="00E7467E"/>
    <w:rsid w:val="00E749C7"/>
    <w:rsid w:val="00E74AA0"/>
    <w:rsid w:val="00E74C59"/>
    <w:rsid w:val="00E74E94"/>
    <w:rsid w:val="00E7506A"/>
    <w:rsid w:val="00E755DF"/>
    <w:rsid w:val="00E7590B"/>
    <w:rsid w:val="00E75960"/>
    <w:rsid w:val="00E75EBB"/>
    <w:rsid w:val="00E75F7C"/>
    <w:rsid w:val="00E76355"/>
    <w:rsid w:val="00E764A0"/>
    <w:rsid w:val="00E76A0B"/>
    <w:rsid w:val="00E76CFF"/>
    <w:rsid w:val="00E76D98"/>
    <w:rsid w:val="00E77232"/>
    <w:rsid w:val="00E7759B"/>
    <w:rsid w:val="00E77663"/>
    <w:rsid w:val="00E77C40"/>
    <w:rsid w:val="00E77D41"/>
    <w:rsid w:val="00E77DC8"/>
    <w:rsid w:val="00E77EA6"/>
    <w:rsid w:val="00E8018F"/>
    <w:rsid w:val="00E802B0"/>
    <w:rsid w:val="00E80314"/>
    <w:rsid w:val="00E803A3"/>
    <w:rsid w:val="00E80583"/>
    <w:rsid w:val="00E80A0D"/>
    <w:rsid w:val="00E80C0D"/>
    <w:rsid w:val="00E80EBE"/>
    <w:rsid w:val="00E80EF1"/>
    <w:rsid w:val="00E8105E"/>
    <w:rsid w:val="00E81299"/>
    <w:rsid w:val="00E8152D"/>
    <w:rsid w:val="00E81F03"/>
    <w:rsid w:val="00E81F6B"/>
    <w:rsid w:val="00E81F76"/>
    <w:rsid w:val="00E823E0"/>
    <w:rsid w:val="00E8268D"/>
    <w:rsid w:val="00E82727"/>
    <w:rsid w:val="00E829FD"/>
    <w:rsid w:val="00E82A19"/>
    <w:rsid w:val="00E82A92"/>
    <w:rsid w:val="00E82F72"/>
    <w:rsid w:val="00E82FAB"/>
    <w:rsid w:val="00E832D3"/>
    <w:rsid w:val="00E834F4"/>
    <w:rsid w:val="00E837F4"/>
    <w:rsid w:val="00E838CD"/>
    <w:rsid w:val="00E83B4D"/>
    <w:rsid w:val="00E83FB9"/>
    <w:rsid w:val="00E8424C"/>
    <w:rsid w:val="00E8455F"/>
    <w:rsid w:val="00E84844"/>
    <w:rsid w:val="00E84E9F"/>
    <w:rsid w:val="00E85049"/>
    <w:rsid w:val="00E85434"/>
    <w:rsid w:val="00E85637"/>
    <w:rsid w:val="00E8575E"/>
    <w:rsid w:val="00E85EF1"/>
    <w:rsid w:val="00E861F7"/>
    <w:rsid w:val="00E867F9"/>
    <w:rsid w:val="00E868F7"/>
    <w:rsid w:val="00E86BB4"/>
    <w:rsid w:val="00E86D03"/>
    <w:rsid w:val="00E86D33"/>
    <w:rsid w:val="00E87416"/>
    <w:rsid w:val="00E874D2"/>
    <w:rsid w:val="00E87714"/>
    <w:rsid w:val="00E878F5"/>
    <w:rsid w:val="00E8798F"/>
    <w:rsid w:val="00E87C7D"/>
    <w:rsid w:val="00E90266"/>
    <w:rsid w:val="00E90413"/>
    <w:rsid w:val="00E90491"/>
    <w:rsid w:val="00E904CA"/>
    <w:rsid w:val="00E9093D"/>
    <w:rsid w:val="00E90BE6"/>
    <w:rsid w:val="00E90C87"/>
    <w:rsid w:val="00E90F00"/>
    <w:rsid w:val="00E91189"/>
    <w:rsid w:val="00E91245"/>
    <w:rsid w:val="00E91292"/>
    <w:rsid w:val="00E91321"/>
    <w:rsid w:val="00E91322"/>
    <w:rsid w:val="00E91761"/>
    <w:rsid w:val="00E917CF"/>
    <w:rsid w:val="00E91B58"/>
    <w:rsid w:val="00E91D15"/>
    <w:rsid w:val="00E91E8E"/>
    <w:rsid w:val="00E92032"/>
    <w:rsid w:val="00E9217A"/>
    <w:rsid w:val="00E921B5"/>
    <w:rsid w:val="00E92483"/>
    <w:rsid w:val="00E924E4"/>
    <w:rsid w:val="00E92593"/>
    <w:rsid w:val="00E9294C"/>
    <w:rsid w:val="00E92A09"/>
    <w:rsid w:val="00E92A89"/>
    <w:rsid w:val="00E93144"/>
    <w:rsid w:val="00E931BA"/>
    <w:rsid w:val="00E93287"/>
    <w:rsid w:val="00E93477"/>
    <w:rsid w:val="00E934CA"/>
    <w:rsid w:val="00E934E7"/>
    <w:rsid w:val="00E93CBF"/>
    <w:rsid w:val="00E93F81"/>
    <w:rsid w:val="00E93F87"/>
    <w:rsid w:val="00E94085"/>
    <w:rsid w:val="00E942B4"/>
    <w:rsid w:val="00E9469B"/>
    <w:rsid w:val="00E949D5"/>
    <w:rsid w:val="00E94ABF"/>
    <w:rsid w:val="00E94D0A"/>
    <w:rsid w:val="00E94DB1"/>
    <w:rsid w:val="00E95672"/>
    <w:rsid w:val="00E957F6"/>
    <w:rsid w:val="00E958A9"/>
    <w:rsid w:val="00E95CAD"/>
    <w:rsid w:val="00E95CEC"/>
    <w:rsid w:val="00E95E28"/>
    <w:rsid w:val="00E961AB"/>
    <w:rsid w:val="00E962CA"/>
    <w:rsid w:val="00E9684D"/>
    <w:rsid w:val="00E96BB9"/>
    <w:rsid w:val="00E96C5B"/>
    <w:rsid w:val="00E96D3A"/>
    <w:rsid w:val="00E97061"/>
    <w:rsid w:val="00E970D2"/>
    <w:rsid w:val="00E9720F"/>
    <w:rsid w:val="00E9726D"/>
    <w:rsid w:val="00E97272"/>
    <w:rsid w:val="00E97634"/>
    <w:rsid w:val="00E976DC"/>
    <w:rsid w:val="00E97838"/>
    <w:rsid w:val="00E97DBC"/>
    <w:rsid w:val="00E97E81"/>
    <w:rsid w:val="00E97F7D"/>
    <w:rsid w:val="00EA0110"/>
    <w:rsid w:val="00EA0161"/>
    <w:rsid w:val="00EA0237"/>
    <w:rsid w:val="00EA0406"/>
    <w:rsid w:val="00EA04AD"/>
    <w:rsid w:val="00EA0591"/>
    <w:rsid w:val="00EA093C"/>
    <w:rsid w:val="00EA099B"/>
    <w:rsid w:val="00EA0ACF"/>
    <w:rsid w:val="00EA0F51"/>
    <w:rsid w:val="00EA1B8D"/>
    <w:rsid w:val="00EA1C88"/>
    <w:rsid w:val="00EA1CF7"/>
    <w:rsid w:val="00EA1D1D"/>
    <w:rsid w:val="00EA1D52"/>
    <w:rsid w:val="00EA1FC7"/>
    <w:rsid w:val="00EA2270"/>
    <w:rsid w:val="00EA2323"/>
    <w:rsid w:val="00EA24A2"/>
    <w:rsid w:val="00EA2505"/>
    <w:rsid w:val="00EA2964"/>
    <w:rsid w:val="00EA29F0"/>
    <w:rsid w:val="00EA2A14"/>
    <w:rsid w:val="00EA2DCF"/>
    <w:rsid w:val="00EA2E4E"/>
    <w:rsid w:val="00EA39DC"/>
    <w:rsid w:val="00EA3B2B"/>
    <w:rsid w:val="00EA3C3B"/>
    <w:rsid w:val="00EA3C41"/>
    <w:rsid w:val="00EA3F50"/>
    <w:rsid w:val="00EA409B"/>
    <w:rsid w:val="00EA4117"/>
    <w:rsid w:val="00EA4283"/>
    <w:rsid w:val="00EA43CA"/>
    <w:rsid w:val="00EA4895"/>
    <w:rsid w:val="00EA4B35"/>
    <w:rsid w:val="00EA4E6D"/>
    <w:rsid w:val="00EA4FE2"/>
    <w:rsid w:val="00EA507B"/>
    <w:rsid w:val="00EA5445"/>
    <w:rsid w:val="00EA5471"/>
    <w:rsid w:val="00EA54B9"/>
    <w:rsid w:val="00EA611D"/>
    <w:rsid w:val="00EA628F"/>
    <w:rsid w:val="00EA64C1"/>
    <w:rsid w:val="00EA683E"/>
    <w:rsid w:val="00EA6A19"/>
    <w:rsid w:val="00EA6A79"/>
    <w:rsid w:val="00EA6C2A"/>
    <w:rsid w:val="00EA6E0B"/>
    <w:rsid w:val="00EA718D"/>
    <w:rsid w:val="00EA727E"/>
    <w:rsid w:val="00EA75F6"/>
    <w:rsid w:val="00EA7804"/>
    <w:rsid w:val="00EA7861"/>
    <w:rsid w:val="00EA7956"/>
    <w:rsid w:val="00EA7D93"/>
    <w:rsid w:val="00EA7FEE"/>
    <w:rsid w:val="00EB01E5"/>
    <w:rsid w:val="00EB0959"/>
    <w:rsid w:val="00EB0B83"/>
    <w:rsid w:val="00EB132D"/>
    <w:rsid w:val="00EB13C9"/>
    <w:rsid w:val="00EB1474"/>
    <w:rsid w:val="00EB149A"/>
    <w:rsid w:val="00EB1665"/>
    <w:rsid w:val="00EB16D5"/>
    <w:rsid w:val="00EB1713"/>
    <w:rsid w:val="00EB1A72"/>
    <w:rsid w:val="00EB1A80"/>
    <w:rsid w:val="00EB1C0C"/>
    <w:rsid w:val="00EB1D60"/>
    <w:rsid w:val="00EB1E68"/>
    <w:rsid w:val="00EB1F1C"/>
    <w:rsid w:val="00EB1FDA"/>
    <w:rsid w:val="00EB2256"/>
    <w:rsid w:val="00EB253D"/>
    <w:rsid w:val="00EB280B"/>
    <w:rsid w:val="00EB280C"/>
    <w:rsid w:val="00EB2CD7"/>
    <w:rsid w:val="00EB2DE1"/>
    <w:rsid w:val="00EB319F"/>
    <w:rsid w:val="00EB34DA"/>
    <w:rsid w:val="00EB3845"/>
    <w:rsid w:val="00EB3D9B"/>
    <w:rsid w:val="00EB3E1A"/>
    <w:rsid w:val="00EB3ED0"/>
    <w:rsid w:val="00EB40CD"/>
    <w:rsid w:val="00EB4133"/>
    <w:rsid w:val="00EB428D"/>
    <w:rsid w:val="00EB4596"/>
    <w:rsid w:val="00EB4841"/>
    <w:rsid w:val="00EB504D"/>
    <w:rsid w:val="00EB57FE"/>
    <w:rsid w:val="00EB59DF"/>
    <w:rsid w:val="00EB5BF1"/>
    <w:rsid w:val="00EB5E68"/>
    <w:rsid w:val="00EB665A"/>
    <w:rsid w:val="00EB6885"/>
    <w:rsid w:val="00EB6AAE"/>
    <w:rsid w:val="00EB6CC9"/>
    <w:rsid w:val="00EB74B4"/>
    <w:rsid w:val="00EB7589"/>
    <w:rsid w:val="00EB76FF"/>
    <w:rsid w:val="00EB7A72"/>
    <w:rsid w:val="00EB7B71"/>
    <w:rsid w:val="00EB7D7F"/>
    <w:rsid w:val="00EB7E22"/>
    <w:rsid w:val="00EC0013"/>
    <w:rsid w:val="00EC003F"/>
    <w:rsid w:val="00EC0311"/>
    <w:rsid w:val="00EC0BA5"/>
    <w:rsid w:val="00EC0C43"/>
    <w:rsid w:val="00EC1081"/>
    <w:rsid w:val="00EC12B5"/>
    <w:rsid w:val="00EC14C9"/>
    <w:rsid w:val="00EC15A3"/>
    <w:rsid w:val="00EC16F2"/>
    <w:rsid w:val="00EC17D5"/>
    <w:rsid w:val="00EC1ADF"/>
    <w:rsid w:val="00EC1F4E"/>
    <w:rsid w:val="00EC20C3"/>
    <w:rsid w:val="00EC2218"/>
    <w:rsid w:val="00EC233C"/>
    <w:rsid w:val="00EC298C"/>
    <w:rsid w:val="00EC2BBB"/>
    <w:rsid w:val="00EC2C42"/>
    <w:rsid w:val="00EC2C69"/>
    <w:rsid w:val="00EC2EFF"/>
    <w:rsid w:val="00EC2F53"/>
    <w:rsid w:val="00EC302B"/>
    <w:rsid w:val="00EC32AE"/>
    <w:rsid w:val="00EC3582"/>
    <w:rsid w:val="00EC36A8"/>
    <w:rsid w:val="00EC3B73"/>
    <w:rsid w:val="00EC3E80"/>
    <w:rsid w:val="00EC3FAC"/>
    <w:rsid w:val="00EC449F"/>
    <w:rsid w:val="00EC45B8"/>
    <w:rsid w:val="00EC4C58"/>
    <w:rsid w:val="00EC4D5E"/>
    <w:rsid w:val="00EC5040"/>
    <w:rsid w:val="00EC5198"/>
    <w:rsid w:val="00EC5799"/>
    <w:rsid w:val="00EC59DF"/>
    <w:rsid w:val="00EC6050"/>
    <w:rsid w:val="00EC627B"/>
    <w:rsid w:val="00EC6296"/>
    <w:rsid w:val="00EC6619"/>
    <w:rsid w:val="00EC6623"/>
    <w:rsid w:val="00EC67D2"/>
    <w:rsid w:val="00EC6D31"/>
    <w:rsid w:val="00EC73C8"/>
    <w:rsid w:val="00EC7499"/>
    <w:rsid w:val="00EC7A06"/>
    <w:rsid w:val="00EC7D55"/>
    <w:rsid w:val="00ED0088"/>
    <w:rsid w:val="00ED02F8"/>
    <w:rsid w:val="00ED0875"/>
    <w:rsid w:val="00ED0AAA"/>
    <w:rsid w:val="00ED0AB3"/>
    <w:rsid w:val="00ED0B1D"/>
    <w:rsid w:val="00ED11BC"/>
    <w:rsid w:val="00ED1587"/>
    <w:rsid w:val="00ED1B7C"/>
    <w:rsid w:val="00ED1D13"/>
    <w:rsid w:val="00ED207F"/>
    <w:rsid w:val="00ED21FF"/>
    <w:rsid w:val="00ED22F6"/>
    <w:rsid w:val="00ED2420"/>
    <w:rsid w:val="00ED294A"/>
    <w:rsid w:val="00ED29A7"/>
    <w:rsid w:val="00ED2B6E"/>
    <w:rsid w:val="00ED2BF1"/>
    <w:rsid w:val="00ED2C7D"/>
    <w:rsid w:val="00ED2D72"/>
    <w:rsid w:val="00ED2E88"/>
    <w:rsid w:val="00ED2EA4"/>
    <w:rsid w:val="00ED3026"/>
    <w:rsid w:val="00ED364B"/>
    <w:rsid w:val="00ED39D1"/>
    <w:rsid w:val="00ED3C1D"/>
    <w:rsid w:val="00ED3DBC"/>
    <w:rsid w:val="00ED3E3C"/>
    <w:rsid w:val="00ED4663"/>
    <w:rsid w:val="00ED46A2"/>
    <w:rsid w:val="00ED48D2"/>
    <w:rsid w:val="00ED4EF0"/>
    <w:rsid w:val="00ED51CF"/>
    <w:rsid w:val="00ED5368"/>
    <w:rsid w:val="00ED5608"/>
    <w:rsid w:val="00ED577A"/>
    <w:rsid w:val="00ED5797"/>
    <w:rsid w:val="00ED5860"/>
    <w:rsid w:val="00ED59CF"/>
    <w:rsid w:val="00ED5C11"/>
    <w:rsid w:val="00ED5C58"/>
    <w:rsid w:val="00ED5C6F"/>
    <w:rsid w:val="00ED60CF"/>
    <w:rsid w:val="00ED62B9"/>
    <w:rsid w:val="00ED6792"/>
    <w:rsid w:val="00ED6DF6"/>
    <w:rsid w:val="00ED7019"/>
    <w:rsid w:val="00ED7074"/>
    <w:rsid w:val="00ED7162"/>
    <w:rsid w:val="00ED747E"/>
    <w:rsid w:val="00ED7561"/>
    <w:rsid w:val="00ED7582"/>
    <w:rsid w:val="00ED793D"/>
    <w:rsid w:val="00ED7D0F"/>
    <w:rsid w:val="00ED7ED8"/>
    <w:rsid w:val="00ED7EFD"/>
    <w:rsid w:val="00EE0191"/>
    <w:rsid w:val="00EE0217"/>
    <w:rsid w:val="00EE0330"/>
    <w:rsid w:val="00EE03CE"/>
    <w:rsid w:val="00EE06ED"/>
    <w:rsid w:val="00EE0700"/>
    <w:rsid w:val="00EE0756"/>
    <w:rsid w:val="00EE0965"/>
    <w:rsid w:val="00EE0CAF"/>
    <w:rsid w:val="00EE1041"/>
    <w:rsid w:val="00EE1122"/>
    <w:rsid w:val="00EE18E8"/>
    <w:rsid w:val="00EE1C2B"/>
    <w:rsid w:val="00EE1D4F"/>
    <w:rsid w:val="00EE1E91"/>
    <w:rsid w:val="00EE22AA"/>
    <w:rsid w:val="00EE2358"/>
    <w:rsid w:val="00EE2554"/>
    <w:rsid w:val="00EE298A"/>
    <w:rsid w:val="00EE2DC7"/>
    <w:rsid w:val="00EE334B"/>
    <w:rsid w:val="00EE36C3"/>
    <w:rsid w:val="00EE38C4"/>
    <w:rsid w:val="00EE3CD4"/>
    <w:rsid w:val="00EE3F4C"/>
    <w:rsid w:val="00EE4003"/>
    <w:rsid w:val="00EE41DE"/>
    <w:rsid w:val="00EE431F"/>
    <w:rsid w:val="00EE4E49"/>
    <w:rsid w:val="00EE5085"/>
    <w:rsid w:val="00EE50C5"/>
    <w:rsid w:val="00EE57EB"/>
    <w:rsid w:val="00EE5C30"/>
    <w:rsid w:val="00EE5C7F"/>
    <w:rsid w:val="00EE5FFB"/>
    <w:rsid w:val="00EE6001"/>
    <w:rsid w:val="00EE6096"/>
    <w:rsid w:val="00EE628A"/>
    <w:rsid w:val="00EE6437"/>
    <w:rsid w:val="00EE64A0"/>
    <w:rsid w:val="00EE653F"/>
    <w:rsid w:val="00EE685A"/>
    <w:rsid w:val="00EE6D03"/>
    <w:rsid w:val="00EE6D60"/>
    <w:rsid w:val="00EE7074"/>
    <w:rsid w:val="00EE7077"/>
    <w:rsid w:val="00EE716A"/>
    <w:rsid w:val="00EE71E8"/>
    <w:rsid w:val="00EE73D0"/>
    <w:rsid w:val="00EE740D"/>
    <w:rsid w:val="00EE74E3"/>
    <w:rsid w:val="00EE7745"/>
    <w:rsid w:val="00EE7F49"/>
    <w:rsid w:val="00EF04C7"/>
    <w:rsid w:val="00EF053A"/>
    <w:rsid w:val="00EF0C8B"/>
    <w:rsid w:val="00EF0CB6"/>
    <w:rsid w:val="00EF0F52"/>
    <w:rsid w:val="00EF100A"/>
    <w:rsid w:val="00EF125F"/>
    <w:rsid w:val="00EF14ED"/>
    <w:rsid w:val="00EF1C10"/>
    <w:rsid w:val="00EF1DC3"/>
    <w:rsid w:val="00EF1F6F"/>
    <w:rsid w:val="00EF1FAC"/>
    <w:rsid w:val="00EF22B6"/>
    <w:rsid w:val="00EF2444"/>
    <w:rsid w:val="00EF26CF"/>
    <w:rsid w:val="00EF27B3"/>
    <w:rsid w:val="00EF2823"/>
    <w:rsid w:val="00EF28F4"/>
    <w:rsid w:val="00EF2FBC"/>
    <w:rsid w:val="00EF303E"/>
    <w:rsid w:val="00EF3475"/>
    <w:rsid w:val="00EF34DF"/>
    <w:rsid w:val="00EF3829"/>
    <w:rsid w:val="00EF382C"/>
    <w:rsid w:val="00EF3976"/>
    <w:rsid w:val="00EF3B62"/>
    <w:rsid w:val="00EF3D42"/>
    <w:rsid w:val="00EF4400"/>
    <w:rsid w:val="00EF4783"/>
    <w:rsid w:val="00EF49A7"/>
    <w:rsid w:val="00EF4ABA"/>
    <w:rsid w:val="00EF4CAE"/>
    <w:rsid w:val="00EF4E10"/>
    <w:rsid w:val="00EF504F"/>
    <w:rsid w:val="00EF50D8"/>
    <w:rsid w:val="00EF5479"/>
    <w:rsid w:val="00EF5629"/>
    <w:rsid w:val="00EF577F"/>
    <w:rsid w:val="00EF59D9"/>
    <w:rsid w:val="00EF5CEC"/>
    <w:rsid w:val="00EF5E66"/>
    <w:rsid w:val="00EF5F3D"/>
    <w:rsid w:val="00EF64AC"/>
    <w:rsid w:val="00EF6527"/>
    <w:rsid w:val="00EF65E1"/>
    <w:rsid w:val="00EF6885"/>
    <w:rsid w:val="00EF6BC1"/>
    <w:rsid w:val="00EF6D45"/>
    <w:rsid w:val="00EF6DB0"/>
    <w:rsid w:val="00EF6F78"/>
    <w:rsid w:val="00EF7124"/>
    <w:rsid w:val="00EF71EA"/>
    <w:rsid w:val="00EF72E2"/>
    <w:rsid w:val="00EF73A0"/>
    <w:rsid w:val="00EF7864"/>
    <w:rsid w:val="00EF7A39"/>
    <w:rsid w:val="00EF7C5B"/>
    <w:rsid w:val="00EF7D0D"/>
    <w:rsid w:val="00F00825"/>
    <w:rsid w:val="00F00DC9"/>
    <w:rsid w:val="00F00E7A"/>
    <w:rsid w:val="00F011EF"/>
    <w:rsid w:val="00F012C6"/>
    <w:rsid w:val="00F014F7"/>
    <w:rsid w:val="00F0152A"/>
    <w:rsid w:val="00F015A5"/>
    <w:rsid w:val="00F01737"/>
    <w:rsid w:val="00F0177F"/>
    <w:rsid w:val="00F01871"/>
    <w:rsid w:val="00F018BE"/>
    <w:rsid w:val="00F02380"/>
    <w:rsid w:val="00F023CC"/>
    <w:rsid w:val="00F025BC"/>
    <w:rsid w:val="00F028CD"/>
    <w:rsid w:val="00F03063"/>
    <w:rsid w:val="00F030CB"/>
    <w:rsid w:val="00F0382A"/>
    <w:rsid w:val="00F03843"/>
    <w:rsid w:val="00F0387B"/>
    <w:rsid w:val="00F03AD8"/>
    <w:rsid w:val="00F04003"/>
    <w:rsid w:val="00F04841"/>
    <w:rsid w:val="00F04B2F"/>
    <w:rsid w:val="00F04C28"/>
    <w:rsid w:val="00F04EA0"/>
    <w:rsid w:val="00F04ED0"/>
    <w:rsid w:val="00F05B94"/>
    <w:rsid w:val="00F05CD4"/>
    <w:rsid w:val="00F05D84"/>
    <w:rsid w:val="00F05F75"/>
    <w:rsid w:val="00F05F9F"/>
    <w:rsid w:val="00F06214"/>
    <w:rsid w:val="00F06292"/>
    <w:rsid w:val="00F06332"/>
    <w:rsid w:val="00F06345"/>
    <w:rsid w:val="00F065AC"/>
    <w:rsid w:val="00F06A36"/>
    <w:rsid w:val="00F06AB6"/>
    <w:rsid w:val="00F06CE8"/>
    <w:rsid w:val="00F06E80"/>
    <w:rsid w:val="00F06F9B"/>
    <w:rsid w:val="00F07028"/>
    <w:rsid w:val="00F070CE"/>
    <w:rsid w:val="00F072D6"/>
    <w:rsid w:val="00F074B9"/>
    <w:rsid w:val="00F074BF"/>
    <w:rsid w:val="00F075AD"/>
    <w:rsid w:val="00F07C36"/>
    <w:rsid w:val="00F07CBF"/>
    <w:rsid w:val="00F07CC0"/>
    <w:rsid w:val="00F07CE3"/>
    <w:rsid w:val="00F10143"/>
    <w:rsid w:val="00F1047B"/>
    <w:rsid w:val="00F10568"/>
    <w:rsid w:val="00F10638"/>
    <w:rsid w:val="00F10FA5"/>
    <w:rsid w:val="00F11022"/>
    <w:rsid w:val="00F111B1"/>
    <w:rsid w:val="00F11271"/>
    <w:rsid w:val="00F11343"/>
    <w:rsid w:val="00F11398"/>
    <w:rsid w:val="00F113FC"/>
    <w:rsid w:val="00F11614"/>
    <w:rsid w:val="00F119E1"/>
    <w:rsid w:val="00F11E4F"/>
    <w:rsid w:val="00F11EC2"/>
    <w:rsid w:val="00F12934"/>
    <w:rsid w:val="00F12A96"/>
    <w:rsid w:val="00F135BC"/>
    <w:rsid w:val="00F1382C"/>
    <w:rsid w:val="00F13CBB"/>
    <w:rsid w:val="00F13DE4"/>
    <w:rsid w:val="00F140EC"/>
    <w:rsid w:val="00F140F4"/>
    <w:rsid w:val="00F14493"/>
    <w:rsid w:val="00F146EC"/>
    <w:rsid w:val="00F147D2"/>
    <w:rsid w:val="00F149CA"/>
    <w:rsid w:val="00F14A42"/>
    <w:rsid w:val="00F14BA2"/>
    <w:rsid w:val="00F14D9B"/>
    <w:rsid w:val="00F1505C"/>
    <w:rsid w:val="00F1532B"/>
    <w:rsid w:val="00F154BC"/>
    <w:rsid w:val="00F1585E"/>
    <w:rsid w:val="00F15CF0"/>
    <w:rsid w:val="00F15E6A"/>
    <w:rsid w:val="00F15E7B"/>
    <w:rsid w:val="00F1607B"/>
    <w:rsid w:val="00F16344"/>
    <w:rsid w:val="00F16525"/>
    <w:rsid w:val="00F16963"/>
    <w:rsid w:val="00F16ECA"/>
    <w:rsid w:val="00F1744A"/>
    <w:rsid w:val="00F17620"/>
    <w:rsid w:val="00F20217"/>
    <w:rsid w:val="00F2089E"/>
    <w:rsid w:val="00F208E6"/>
    <w:rsid w:val="00F20AD2"/>
    <w:rsid w:val="00F20E66"/>
    <w:rsid w:val="00F20E86"/>
    <w:rsid w:val="00F20EDE"/>
    <w:rsid w:val="00F21087"/>
    <w:rsid w:val="00F211D3"/>
    <w:rsid w:val="00F21625"/>
    <w:rsid w:val="00F21901"/>
    <w:rsid w:val="00F21AEF"/>
    <w:rsid w:val="00F21B2B"/>
    <w:rsid w:val="00F21BA1"/>
    <w:rsid w:val="00F21C9C"/>
    <w:rsid w:val="00F21E86"/>
    <w:rsid w:val="00F21FDC"/>
    <w:rsid w:val="00F21FE5"/>
    <w:rsid w:val="00F22141"/>
    <w:rsid w:val="00F221FC"/>
    <w:rsid w:val="00F22246"/>
    <w:rsid w:val="00F22480"/>
    <w:rsid w:val="00F22560"/>
    <w:rsid w:val="00F22CB4"/>
    <w:rsid w:val="00F22E21"/>
    <w:rsid w:val="00F22FF5"/>
    <w:rsid w:val="00F23041"/>
    <w:rsid w:val="00F23167"/>
    <w:rsid w:val="00F23819"/>
    <w:rsid w:val="00F23B09"/>
    <w:rsid w:val="00F23BDF"/>
    <w:rsid w:val="00F23DC5"/>
    <w:rsid w:val="00F24039"/>
    <w:rsid w:val="00F240EF"/>
    <w:rsid w:val="00F24354"/>
    <w:rsid w:val="00F245CB"/>
    <w:rsid w:val="00F2474A"/>
    <w:rsid w:val="00F24A4E"/>
    <w:rsid w:val="00F25205"/>
    <w:rsid w:val="00F25635"/>
    <w:rsid w:val="00F2581B"/>
    <w:rsid w:val="00F25828"/>
    <w:rsid w:val="00F25FDD"/>
    <w:rsid w:val="00F26028"/>
    <w:rsid w:val="00F262C3"/>
    <w:rsid w:val="00F263CE"/>
    <w:rsid w:val="00F265D0"/>
    <w:rsid w:val="00F2671A"/>
    <w:rsid w:val="00F2681B"/>
    <w:rsid w:val="00F26DBB"/>
    <w:rsid w:val="00F26E35"/>
    <w:rsid w:val="00F272FE"/>
    <w:rsid w:val="00F2751E"/>
    <w:rsid w:val="00F2779C"/>
    <w:rsid w:val="00F27AEB"/>
    <w:rsid w:val="00F27CC0"/>
    <w:rsid w:val="00F27E2E"/>
    <w:rsid w:val="00F27EFE"/>
    <w:rsid w:val="00F300B3"/>
    <w:rsid w:val="00F301B8"/>
    <w:rsid w:val="00F306A5"/>
    <w:rsid w:val="00F308CE"/>
    <w:rsid w:val="00F30938"/>
    <w:rsid w:val="00F30973"/>
    <w:rsid w:val="00F30DAE"/>
    <w:rsid w:val="00F30F8A"/>
    <w:rsid w:val="00F31100"/>
    <w:rsid w:val="00F311D4"/>
    <w:rsid w:val="00F314D6"/>
    <w:rsid w:val="00F317B0"/>
    <w:rsid w:val="00F31907"/>
    <w:rsid w:val="00F31B06"/>
    <w:rsid w:val="00F31BCB"/>
    <w:rsid w:val="00F31BF0"/>
    <w:rsid w:val="00F31DBB"/>
    <w:rsid w:val="00F31F74"/>
    <w:rsid w:val="00F32456"/>
    <w:rsid w:val="00F32552"/>
    <w:rsid w:val="00F32DED"/>
    <w:rsid w:val="00F32EE4"/>
    <w:rsid w:val="00F32FF5"/>
    <w:rsid w:val="00F3312E"/>
    <w:rsid w:val="00F331DF"/>
    <w:rsid w:val="00F3322C"/>
    <w:rsid w:val="00F33789"/>
    <w:rsid w:val="00F33B30"/>
    <w:rsid w:val="00F34361"/>
    <w:rsid w:val="00F343F5"/>
    <w:rsid w:val="00F34579"/>
    <w:rsid w:val="00F34BAB"/>
    <w:rsid w:val="00F34CBF"/>
    <w:rsid w:val="00F34DE8"/>
    <w:rsid w:val="00F34EB6"/>
    <w:rsid w:val="00F34EBA"/>
    <w:rsid w:val="00F34FFD"/>
    <w:rsid w:val="00F3535F"/>
    <w:rsid w:val="00F354BD"/>
    <w:rsid w:val="00F354CB"/>
    <w:rsid w:val="00F35814"/>
    <w:rsid w:val="00F35B27"/>
    <w:rsid w:val="00F35E01"/>
    <w:rsid w:val="00F36697"/>
    <w:rsid w:val="00F36C74"/>
    <w:rsid w:val="00F36EAA"/>
    <w:rsid w:val="00F36FF3"/>
    <w:rsid w:val="00F3707E"/>
    <w:rsid w:val="00F373FC"/>
    <w:rsid w:val="00F3776D"/>
    <w:rsid w:val="00F37982"/>
    <w:rsid w:val="00F37CEF"/>
    <w:rsid w:val="00F37E42"/>
    <w:rsid w:val="00F4019D"/>
    <w:rsid w:val="00F40218"/>
    <w:rsid w:val="00F404B5"/>
    <w:rsid w:val="00F404CF"/>
    <w:rsid w:val="00F407B3"/>
    <w:rsid w:val="00F407ED"/>
    <w:rsid w:val="00F4080D"/>
    <w:rsid w:val="00F40A5D"/>
    <w:rsid w:val="00F40CE9"/>
    <w:rsid w:val="00F40D06"/>
    <w:rsid w:val="00F40F29"/>
    <w:rsid w:val="00F40F7E"/>
    <w:rsid w:val="00F411DF"/>
    <w:rsid w:val="00F41492"/>
    <w:rsid w:val="00F414CB"/>
    <w:rsid w:val="00F415C9"/>
    <w:rsid w:val="00F416E0"/>
    <w:rsid w:val="00F41964"/>
    <w:rsid w:val="00F41AC3"/>
    <w:rsid w:val="00F41D3C"/>
    <w:rsid w:val="00F41DC5"/>
    <w:rsid w:val="00F42034"/>
    <w:rsid w:val="00F42582"/>
    <w:rsid w:val="00F4258B"/>
    <w:rsid w:val="00F42633"/>
    <w:rsid w:val="00F42742"/>
    <w:rsid w:val="00F42A10"/>
    <w:rsid w:val="00F42A98"/>
    <w:rsid w:val="00F42DB2"/>
    <w:rsid w:val="00F43098"/>
    <w:rsid w:val="00F431E3"/>
    <w:rsid w:val="00F43578"/>
    <w:rsid w:val="00F4375F"/>
    <w:rsid w:val="00F43926"/>
    <w:rsid w:val="00F43BBA"/>
    <w:rsid w:val="00F44095"/>
    <w:rsid w:val="00F44D19"/>
    <w:rsid w:val="00F44D3F"/>
    <w:rsid w:val="00F450BA"/>
    <w:rsid w:val="00F450D5"/>
    <w:rsid w:val="00F45243"/>
    <w:rsid w:val="00F457AA"/>
    <w:rsid w:val="00F457BA"/>
    <w:rsid w:val="00F458A7"/>
    <w:rsid w:val="00F45C19"/>
    <w:rsid w:val="00F45CA8"/>
    <w:rsid w:val="00F45D97"/>
    <w:rsid w:val="00F4633A"/>
    <w:rsid w:val="00F4644A"/>
    <w:rsid w:val="00F46694"/>
    <w:rsid w:val="00F4672C"/>
    <w:rsid w:val="00F46797"/>
    <w:rsid w:val="00F468BA"/>
    <w:rsid w:val="00F46B7C"/>
    <w:rsid w:val="00F46CB8"/>
    <w:rsid w:val="00F46E35"/>
    <w:rsid w:val="00F47015"/>
    <w:rsid w:val="00F47146"/>
    <w:rsid w:val="00F473D8"/>
    <w:rsid w:val="00F47563"/>
    <w:rsid w:val="00F4794E"/>
    <w:rsid w:val="00F47BA1"/>
    <w:rsid w:val="00F47DBA"/>
    <w:rsid w:val="00F500D0"/>
    <w:rsid w:val="00F5013A"/>
    <w:rsid w:val="00F501A1"/>
    <w:rsid w:val="00F507CD"/>
    <w:rsid w:val="00F50972"/>
    <w:rsid w:val="00F50A20"/>
    <w:rsid w:val="00F50EB2"/>
    <w:rsid w:val="00F50F64"/>
    <w:rsid w:val="00F5100C"/>
    <w:rsid w:val="00F510AB"/>
    <w:rsid w:val="00F512BD"/>
    <w:rsid w:val="00F51389"/>
    <w:rsid w:val="00F5159D"/>
    <w:rsid w:val="00F5161C"/>
    <w:rsid w:val="00F516AE"/>
    <w:rsid w:val="00F518CB"/>
    <w:rsid w:val="00F519AC"/>
    <w:rsid w:val="00F51A68"/>
    <w:rsid w:val="00F51DE4"/>
    <w:rsid w:val="00F521B6"/>
    <w:rsid w:val="00F52493"/>
    <w:rsid w:val="00F52596"/>
    <w:rsid w:val="00F527DA"/>
    <w:rsid w:val="00F52815"/>
    <w:rsid w:val="00F52B14"/>
    <w:rsid w:val="00F52D60"/>
    <w:rsid w:val="00F52E08"/>
    <w:rsid w:val="00F53258"/>
    <w:rsid w:val="00F5396E"/>
    <w:rsid w:val="00F53FA3"/>
    <w:rsid w:val="00F5401E"/>
    <w:rsid w:val="00F54279"/>
    <w:rsid w:val="00F543CC"/>
    <w:rsid w:val="00F54426"/>
    <w:rsid w:val="00F5456C"/>
    <w:rsid w:val="00F547A2"/>
    <w:rsid w:val="00F54F85"/>
    <w:rsid w:val="00F54FC6"/>
    <w:rsid w:val="00F550C6"/>
    <w:rsid w:val="00F55157"/>
    <w:rsid w:val="00F55170"/>
    <w:rsid w:val="00F55185"/>
    <w:rsid w:val="00F554AD"/>
    <w:rsid w:val="00F55530"/>
    <w:rsid w:val="00F55740"/>
    <w:rsid w:val="00F5579F"/>
    <w:rsid w:val="00F55A94"/>
    <w:rsid w:val="00F55AA3"/>
    <w:rsid w:val="00F55C65"/>
    <w:rsid w:val="00F55D3B"/>
    <w:rsid w:val="00F55DE3"/>
    <w:rsid w:val="00F55F22"/>
    <w:rsid w:val="00F56068"/>
    <w:rsid w:val="00F56103"/>
    <w:rsid w:val="00F5628F"/>
    <w:rsid w:val="00F56489"/>
    <w:rsid w:val="00F5677C"/>
    <w:rsid w:val="00F568F3"/>
    <w:rsid w:val="00F56A2B"/>
    <w:rsid w:val="00F56AC6"/>
    <w:rsid w:val="00F56E80"/>
    <w:rsid w:val="00F56FEE"/>
    <w:rsid w:val="00F570F6"/>
    <w:rsid w:val="00F57189"/>
    <w:rsid w:val="00F57269"/>
    <w:rsid w:val="00F572B2"/>
    <w:rsid w:val="00F5781C"/>
    <w:rsid w:val="00F579C9"/>
    <w:rsid w:val="00F57A15"/>
    <w:rsid w:val="00F57A4E"/>
    <w:rsid w:val="00F57F35"/>
    <w:rsid w:val="00F603D5"/>
    <w:rsid w:val="00F604A2"/>
    <w:rsid w:val="00F60656"/>
    <w:rsid w:val="00F609EB"/>
    <w:rsid w:val="00F609FF"/>
    <w:rsid w:val="00F60AD6"/>
    <w:rsid w:val="00F60CE5"/>
    <w:rsid w:val="00F60D48"/>
    <w:rsid w:val="00F60E6E"/>
    <w:rsid w:val="00F60F1D"/>
    <w:rsid w:val="00F6113A"/>
    <w:rsid w:val="00F6115A"/>
    <w:rsid w:val="00F6134B"/>
    <w:rsid w:val="00F61764"/>
    <w:rsid w:val="00F61899"/>
    <w:rsid w:val="00F61DA8"/>
    <w:rsid w:val="00F61EA7"/>
    <w:rsid w:val="00F621FA"/>
    <w:rsid w:val="00F623B2"/>
    <w:rsid w:val="00F62554"/>
    <w:rsid w:val="00F62633"/>
    <w:rsid w:val="00F62909"/>
    <w:rsid w:val="00F62EAF"/>
    <w:rsid w:val="00F6307C"/>
    <w:rsid w:val="00F63240"/>
    <w:rsid w:val="00F63257"/>
    <w:rsid w:val="00F635B4"/>
    <w:rsid w:val="00F636CA"/>
    <w:rsid w:val="00F6375A"/>
    <w:rsid w:val="00F638B8"/>
    <w:rsid w:val="00F63DC3"/>
    <w:rsid w:val="00F63E40"/>
    <w:rsid w:val="00F63E8A"/>
    <w:rsid w:val="00F63FDA"/>
    <w:rsid w:val="00F64121"/>
    <w:rsid w:val="00F64171"/>
    <w:rsid w:val="00F641C4"/>
    <w:rsid w:val="00F6428D"/>
    <w:rsid w:val="00F6438E"/>
    <w:rsid w:val="00F644B5"/>
    <w:rsid w:val="00F644C6"/>
    <w:rsid w:val="00F6453F"/>
    <w:rsid w:val="00F6458E"/>
    <w:rsid w:val="00F64A9D"/>
    <w:rsid w:val="00F64C9A"/>
    <w:rsid w:val="00F64E9E"/>
    <w:rsid w:val="00F6510E"/>
    <w:rsid w:val="00F651D1"/>
    <w:rsid w:val="00F652ED"/>
    <w:rsid w:val="00F652F3"/>
    <w:rsid w:val="00F653BC"/>
    <w:rsid w:val="00F655C9"/>
    <w:rsid w:val="00F65915"/>
    <w:rsid w:val="00F65B4D"/>
    <w:rsid w:val="00F6628B"/>
    <w:rsid w:val="00F66295"/>
    <w:rsid w:val="00F6630F"/>
    <w:rsid w:val="00F66779"/>
    <w:rsid w:val="00F66B96"/>
    <w:rsid w:val="00F671E4"/>
    <w:rsid w:val="00F67232"/>
    <w:rsid w:val="00F67421"/>
    <w:rsid w:val="00F67FEE"/>
    <w:rsid w:val="00F701A3"/>
    <w:rsid w:val="00F70613"/>
    <w:rsid w:val="00F706A7"/>
    <w:rsid w:val="00F7084F"/>
    <w:rsid w:val="00F7094C"/>
    <w:rsid w:val="00F70A51"/>
    <w:rsid w:val="00F70B06"/>
    <w:rsid w:val="00F70F1B"/>
    <w:rsid w:val="00F71068"/>
    <w:rsid w:val="00F71087"/>
    <w:rsid w:val="00F71481"/>
    <w:rsid w:val="00F71497"/>
    <w:rsid w:val="00F714D7"/>
    <w:rsid w:val="00F71507"/>
    <w:rsid w:val="00F71767"/>
    <w:rsid w:val="00F71775"/>
    <w:rsid w:val="00F71843"/>
    <w:rsid w:val="00F718B1"/>
    <w:rsid w:val="00F71941"/>
    <w:rsid w:val="00F71A69"/>
    <w:rsid w:val="00F71AAF"/>
    <w:rsid w:val="00F71C51"/>
    <w:rsid w:val="00F72C10"/>
    <w:rsid w:val="00F72CB2"/>
    <w:rsid w:val="00F72D88"/>
    <w:rsid w:val="00F72D94"/>
    <w:rsid w:val="00F72DD6"/>
    <w:rsid w:val="00F72E75"/>
    <w:rsid w:val="00F7334E"/>
    <w:rsid w:val="00F734C0"/>
    <w:rsid w:val="00F7360A"/>
    <w:rsid w:val="00F7365C"/>
    <w:rsid w:val="00F736F4"/>
    <w:rsid w:val="00F737A6"/>
    <w:rsid w:val="00F738B9"/>
    <w:rsid w:val="00F738F4"/>
    <w:rsid w:val="00F73D88"/>
    <w:rsid w:val="00F74536"/>
    <w:rsid w:val="00F74620"/>
    <w:rsid w:val="00F7466F"/>
    <w:rsid w:val="00F748AC"/>
    <w:rsid w:val="00F74B5B"/>
    <w:rsid w:val="00F74C59"/>
    <w:rsid w:val="00F7510C"/>
    <w:rsid w:val="00F7518B"/>
    <w:rsid w:val="00F75411"/>
    <w:rsid w:val="00F75791"/>
    <w:rsid w:val="00F758E4"/>
    <w:rsid w:val="00F75AA6"/>
    <w:rsid w:val="00F75DD0"/>
    <w:rsid w:val="00F7604F"/>
    <w:rsid w:val="00F76088"/>
    <w:rsid w:val="00F76805"/>
    <w:rsid w:val="00F769A6"/>
    <w:rsid w:val="00F769CA"/>
    <w:rsid w:val="00F769DD"/>
    <w:rsid w:val="00F76A36"/>
    <w:rsid w:val="00F76ED7"/>
    <w:rsid w:val="00F7707D"/>
    <w:rsid w:val="00F77610"/>
    <w:rsid w:val="00F7763D"/>
    <w:rsid w:val="00F77729"/>
    <w:rsid w:val="00F77B36"/>
    <w:rsid w:val="00F77D11"/>
    <w:rsid w:val="00F77DE5"/>
    <w:rsid w:val="00F77EF0"/>
    <w:rsid w:val="00F77FBF"/>
    <w:rsid w:val="00F800E5"/>
    <w:rsid w:val="00F80499"/>
    <w:rsid w:val="00F804AD"/>
    <w:rsid w:val="00F8073C"/>
    <w:rsid w:val="00F80A1F"/>
    <w:rsid w:val="00F80E05"/>
    <w:rsid w:val="00F81104"/>
    <w:rsid w:val="00F8134E"/>
    <w:rsid w:val="00F81372"/>
    <w:rsid w:val="00F815E4"/>
    <w:rsid w:val="00F8163F"/>
    <w:rsid w:val="00F81905"/>
    <w:rsid w:val="00F81AE0"/>
    <w:rsid w:val="00F81C90"/>
    <w:rsid w:val="00F81CB8"/>
    <w:rsid w:val="00F820F7"/>
    <w:rsid w:val="00F827D9"/>
    <w:rsid w:val="00F8288E"/>
    <w:rsid w:val="00F82AF1"/>
    <w:rsid w:val="00F82CD6"/>
    <w:rsid w:val="00F82D26"/>
    <w:rsid w:val="00F83660"/>
    <w:rsid w:val="00F83DEE"/>
    <w:rsid w:val="00F8419A"/>
    <w:rsid w:val="00F84290"/>
    <w:rsid w:val="00F843E7"/>
    <w:rsid w:val="00F845B2"/>
    <w:rsid w:val="00F84A63"/>
    <w:rsid w:val="00F84B21"/>
    <w:rsid w:val="00F84B3D"/>
    <w:rsid w:val="00F84BB4"/>
    <w:rsid w:val="00F84CF8"/>
    <w:rsid w:val="00F85281"/>
    <w:rsid w:val="00F854F6"/>
    <w:rsid w:val="00F85B98"/>
    <w:rsid w:val="00F85C30"/>
    <w:rsid w:val="00F8611C"/>
    <w:rsid w:val="00F86217"/>
    <w:rsid w:val="00F864C8"/>
    <w:rsid w:val="00F866F5"/>
    <w:rsid w:val="00F86892"/>
    <w:rsid w:val="00F869CB"/>
    <w:rsid w:val="00F86C3B"/>
    <w:rsid w:val="00F870EA"/>
    <w:rsid w:val="00F87718"/>
    <w:rsid w:val="00F8774B"/>
    <w:rsid w:val="00F877E8"/>
    <w:rsid w:val="00F8785C"/>
    <w:rsid w:val="00F87ABC"/>
    <w:rsid w:val="00F87C9E"/>
    <w:rsid w:val="00F87E87"/>
    <w:rsid w:val="00F87E8B"/>
    <w:rsid w:val="00F90529"/>
    <w:rsid w:val="00F9083D"/>
    <w:rsid w:val="00F90A4E"/>
    <w:rsid w:val="00F90B41"/>
    <w:rsid w:val="00F910EE"/>
    <w:rsid w:val="00F9141A"/>
    <w:rsid w:val="00F918B6"/>
    <w:rsid w:val="00F918EB"/>
    <w:rsid w:val="00F91A94"/>
    <w:rsid w:val="00F91B47"/>
    <w:rsid w:val="00F91E5F"/>
    <w:rsid w:val="00F92161"/>
    <w:rsid w:val="00F92340"/>
    <w:rsid w:val="00F9267B"/>
    <w:rsid w:val="00F92A2D"/>
    <w:rsid w:val="00F92A78"/>
    <w:rsid w:val="00F92EDC"/>
    <w:rsid w:val="00F92F8C"/>
    <w:rsid w:val="00F92FFB"/>
    <w:rsid w:val="00F931FF"/>
    <w:rsid w:val="00F935B4"/>
    <w:rsid w:val="00F93B21"/>
    <w:rsid w:val="00F93C05"/>
    <w:rsid w:val="00F93E42"/>
    <w:rsid w:val="00F94007"/>
    <w:rsid w:val="00F941B7"/>
    <w:rsid w:val="00F944E8"/>
    <w:rsid w:val="00F94647"/>
    <w:rsid w:val="00F94746"/>
    <w:rsid w:val="00F9476D"/>
    <w:rsid w:val="00F94848"/>
    <w:rsid w:val="00F9489E"/>
    <w:rsid w:val="00F94982"/>
    <w:rsid w:val="00F94AC9"/>
    <w:rsid w:val="00F94B52"/>
    <w:rsid w:val="00F94BD1"/>
    <w:rsid w:val="00F94D71"/>
    <w:rsid w:val="00F957FB"/>
    <w:rsid w:val="00F95807"/>
    <w:rsid w:val="00F959C2"/>
    <w:rsid w:val="00F95C63"/>
    <w:rsid w:val="00F95D0A"/>
    <w:rsid w:val="00F95D57"/>
    <w:rsid w:val="00F95D85"/>
    <w:rsid w:val="00F96231"/>
    <w:rsid w:val="00F966BB"/>
    <w:rsid w:val="00F9691A"/>
    <w:rsid w:val="00F9699C"/>
    <w:rsid w:val="00F96D47"/>
    <w:rsid w:val="00F9700A"/>
    <w:rsid w:val="00F973C2"/>
    <w:rsid w:val="00F97825"/>
    <w:rsid w:val="00F97847"/>
    <w:rsid w:val="00F978AC"/>
    <w:rsid w:val="00F978E9"/>
    <w:rsid w:val="00F979B3"/>
    <w:rsid w:val="00F97A77"/>
    <w:rsid w:val="00F97C2A"/>
    <w:rsid w:val="00F97D1E"/>
    <w:rsid w:val="00FA028C"/>
    <w:rsid w:val="00FA06C8"/>
    <w:rsid w:val="00FA07DD"/>
    <w:rsid w:val="00FA10B8"/>
    <w:rsid w:val="00FA1115"/>
    <w:rsid w:val="00FA17F3"/>
    <w:rsid w:val="00FA18A3"/>
    <w:rsid w:val="00FA1A8F"/>
    <w:rsid w:val="00FA1A96"/>
    <w:rsid w:val="00FA1C37"/>
    <w:rsid w:val="00FA1C55"/>
    <w:rsid w:val="00FA1CF4"/>
    <w:rsid w:val="00FA2200"/>
    <w:rsid w:val="00FA2252"/>
    <w:rsid w:val="00FA22B1"/>
    <w:rsid w:val="00FA2879"/>
    <w:rsid w:val="00FA2AF9"/>
    <w:rsid w:val="00FA2E2A"/>
    <w:rsid w:val="00FA2F00"/>
    <w:rsid w:val="00FA2F7A"/>
    <w:rsid w:val="00FA3437"/>
    <w:rsid w:val="00FA359A"/>
    <w:rsid w:val="00FA36D5"/>
    <w:rsid w:val="00FA372D"/>
    <w:rsid w:val="00FA3D86"/>
    <w:rsid w:val="00FA3D9B"/>
    <w:rsid w:val="00FA41AE"/>
    <w:rsid w:val="00FA41C4"/>
    <w:rsid w:val="00FA42AF"/>
    <w:rsid w:val="00FA457E"/>
    <w:rsid w:val="00FA476D"/>
    <w:rsid w:val="00FA488C"/>
    <w:rsid w:val="00FA4A0A"/>
    <w:rsid w:val="00FA4AB1"/>
    <w:rsid w:val="00FA4C4C"/>
    <w:rsid w:val="00FA4CD8"/>
    <w:rsid w:val="00FA4E87"/>
    <w:rsid w:val="00FA5A08"/>
    <w:rsid w:val="00FA5BE3"/>
    <w:rsid w:val="00FA613F"/>
    <w:rsid w:val="00FA6358"/>
    <w:rsid w:val="00FA64B8"/>
    <w:rsid w:val="00FA6D27"/>
    <w:rsid w:val="00FA6D8A"/>
    <w:rsid w:val="00FA6E86"/>
    <w:rsid w:val="00FA7188"/>
    <w:rsid w:val="00FA7A25"/>
    <w:rsid w:val="00FA7A27"/>
    <w:rsid w:val="00FA7D92"/>
    <w:rsid w:val="00FA7DDA"/>
    <w:rsid w:val="00FA7E20"/>
    <w:rsid w:val="00FB0184"/>
    <w:rsid w:val="00FB01EA"/>
    <w:rsid w:val="00FB07B3"/>
    <w:rsid w:val="00FB19F8"/>
    <w:rsid w:val="00FB1AC0"/>
    <w:rsid w:val="00FB1D1D"/>
    <w:rsid w:val="00FB1E7E"/>
    <w:rsid w:val="00FB2151"/>
    <w:rsid w:val="00FB2AD6"/>
    <w:rsid w:val="00FB2C8C"/>
    <w:rsid w:val="00FB30AC"/>
    <w:rsid w:val="00FB3833"/>
    <w:rsid w:val="00FB3A41"/>
    <w:rsid w:val="00FB3B36"/>
    <w:rsid w:val="00FB3BA1"/>
    <w:rsid w:val="00FB3BCE"/>
    <w:rsid w:val="00FB3C61"/>
    <w:rsid w:val="00FB3E7C"/>
    <w:rsid w:val="00FB430A"/>
    <w:rsid w:val="00FB460F"/>
    <w:rsid w:val="00FB487C"/>
    <w:rsid w:val="00FB4924"/>
    <w:rsid w:val="00FB496E"/>
    <w:rsid w:val="00FB4CC9"/>
    <w:rsid w:val="00FB4DB0"/>
    <w:rsid w:val="00FB4DC7"/>
    <w:rsid w:val="00FB5904"/>
    <w:rsid w:val="00FB59ED"/>
    <w:rsid w:val="00FB5CF2"/>
    <w:rsid w:val="00FB5D06"/>
    <w:rsid w:val="00FB5EC2"/>
    <w:rsid w:val="00FB66FA"/>
    <w:rsid w:val="00FB6792"/>
    <w:rsid w:val="00FB69A8"/>
    <w:rsid w:val="00FB6A3E"/>
    <w:rsid w:val="00FB6B07"/>
    <w:rsid w:val="00FB7196"/>
    <w:rsid w:val="00FB7231"/>
    <w:rsid w:val="00FB74A0"/>
    <w:rsid w:val="00FB74B6"/>
    <w:rsid w:val="00FB7909"/>
    <w:rsid w:val="00FC0013"/>
    <w:rsid w:val="00FC03B6"/>
    <w:rsid w:val="00FC0509"/>
    <w:rsid w:val="00FC05AE"/>
    <w:rsid w:val="00FC05C6"/>
    <w:rsid w:val="00FC07AD"/>
    <w:rsid w:val="00FC0999"/>
    <w:rsid w:val="00FC0A77"/>
    <w:rsid w:val="00FC0E59"/>
    <w:rsid w:val="00FC0F15"/>
    <w:rsid w:val="00FC0FF7"/>
    <w:rsid w:val="00FC103A"/>
    <w:rsid w:val="00FC11D9"/>
    <w:rsid w:val="00FC122F"/>
    <w:rsid w:val="00FC16CD"/>
    <w:rsid w:val="00FC19A2"/>
    <w:rsid w:val="00FC1C71"/>
    <w:rsid w:val="00FC1C7C"/>
    <w:rsid w:val="00FC23D8"/>
    <w:rsid w:val="00FC2449"/>
    <w:rsid w:val="00FC254A"/>
    <w:rsid w:val="00FC27F5"/>
    <w:rsid w:val="00FC2907"/>
    <w:rsid w:val="00FC2EB5"/>
    <w:rsid w:val="00FC2FB5"/>
    <w:rsid w:val="00FC3322"/>
    <w:rsid w:val="00FC3478"/>
    <w:rsid w:val="00FC3640"/>
    <w:rsid w:val="00FC3667"/>
    <w:rsid w:val="00FC38AD"/>
    <w:rsid w:val="00FC3AF8"/>
    <w:rsid w:val="00FC3B04"/>
    <w:rsid w:val="00FC41EA"/>
    <w:rsid w:val="00FC4295"/>
    <w:rsid w:val="00FC46CF"/>
    <w:rsid w:val="00FC470E"/>
    <w:rsid w:val="00FC4735"/>
    <w:rsid w:val="00FC49C9"/>
    <w:rsid w:val="00FC4A3A"/>
    <w:rsid w:val="00FC4A81"/>
    <w:rsid w:val="00FC4AD1"/>
    <w:rsid w:val="00FC4CA8"/>
    <w:rsid w:val="00FC4D4F"/>
    <w:rsid w:val="00FC4DC3"/>
    <w:rsid w:val="00FC4FBD"/>
    <w:rsid w:val="00FC5143"/>
    <w:rsid w:val="00FC5636"/>
    <w:rsid w:val="00FC5758"/>
    <w:rsid w:val="00FC5813"/>
    <w:rsid w:val="00FC5896"/>
    <w:rsid w:val="00FC5A2A"/>
    <w:rsid w:val="00FC5A2C"/>
    <w:rsid w:val="00FC5AEA"/>
    <w:rsid w:val="00FC619E"/>
    <w:rsid w:val="00FC6437"/>
    <w:rsid w:val="00FC6480"/>
    <w:rsid w:val="00FC64F5"/>
    <w:rsid w:val="00FC67D2"/>
    <w:rsid w:val="00FC6876"/>
    <w:rsid w:val="00FC6A85"/>
    <w:rsid w:val="00FC6B57"/>
    <w:rsid w:val="00FC6BA6"/>
    <w:rsid w:val="00FC6C3A"/>
    <w:rsid w:val="00FC6DB2"/>
    <w:rsid w:val="00FC6FBD"/>
    <w:rsid w:val="00FC6FE9"/>
    <w:rsid w:val="00FC717D"/>
    <w:rsid w:val="00FC739E"/>
    <w:rsid w:val="00FC74F8"/>
    <w:rsid w:val="00FC759B"/>
    <w:rsid w:val="00FC765F"/>
    <w:rsid w:val="00FC7B7E"/>
    <w:rsid w:val="00FC7DC7"/>
    <w:rsid w:val="00FD0788"/>
    <w:rsid w:val="00FD0CEC"/>
    <w:rsid w:val="00FD1775"/>
    <w:rsid w:val="00FD17CB"/>
    <w:rsid w:val="00FD1849"/>
    <w:rsid w:val="00FD1D7E"/>
    <w:rsid w:val="00FD20FC"/>
    <w:rsid w:val="00FD21BD"/>
    <w:rsid w:val="00FD2201"/>
    <w:rsid w:val="00FD23A7"/>
    <w:rsid w:val="00FD2428"/>
    <w:rsid w:val="00FD2481"/>
    <w:rsid w:val="00FD264B"/>
    <w:rsid w:val="00FD293A"/>
    <w:rsid w:val="00FD2CFE"/>
    <w:rsid w:val="00FD2F69"/>
    <w:rsid w:val="00FD3096"/>
    <w:rsid w:val="00FD322A"/>
    <w:rsid w:val="00FD3508"/>
    <w:rsid w:val="00FD360A"/>
    <w:rsid w:val="00FD378E"/>
    <w:rsid w:val="00FD378F"/>
    <w:rsid w:val="00FD3843"/>
    <w:rsid w:val="00FD396F"/>
    <w:rsid w:val="00FD3A1C"/>
    <w:rsid w:val="00FD3AD6"/>
    <w:rsid w:val="00FD3C9E"/>
    <w:rsid w:val="00FD4162"/>
    <w:rsid w:val="00FD4229"/>
    <w:rsid w:val="00FD446D"/>
    <w:rsid w:val="00FD49FC"/>
    <w:rsid w:val="00FD4B69"/>
    <w:rsid w:val="00FD4BB7"/>
    <w:rsid w:val="00FD4C22"/>
    <w:rsid w:val="00FD4FEE"/>
    <w:rsid w:val="00FD5262"/>
    <w:rsid w:val="00FD541B"/>
    <w:rsid w:val="00FD5632"/>
    <w:rsid w:val="00FD563B"/>
    <w:rsid w:val="00FD569B"/>
    <w:rsid w:val="00FD5876"/>
    <w:rsid w:val="00FD58BB"/>
    <w:rsid w:val="00FD5946"/>
    <w:rsid w:val="00FD5E8F"/>
    <w:rsid w:val="00FD6027"/>
    <w:rsid w:val="00FD6047"/>
    <w:rsid w:val="00FD6060"/>
    <w:rsid w:val="00FD606F"/>
    <w:rsid w:val="00FD60C7"/>
    <w:rsid w:val="00FD61E1"/>
    <w:rsid w:val="00FD66A7"/>
    <w:rsid w:val="00FD71D4"/>
    <w:rsid w:val="00FD75DE"/>
    <w:rsid w:val="00FD7635"/>
    <w:rsid w:val="00FE014C"/>
    <w:rsid w:val="00FE01E6"/>
    <w:rsid w:val="00FE0615"/>
    <w:rsid w:val="00FE0660"/>
    <w:rsid w:val="00FE0674"/>
    <w:rsid w:val="00FE0893"/>
    <w:rsid w:val="00FE090C"/>
    <w:rsid w:val="00FE0A25"/>
    <w:rsid w:val="00FE0D2A"/>
    <w:rsid w:val="00FE0E0F"/>
    <w:rsid w:val="00FE10EC"/>
    <w:rsid w:val="00FE110B"/>
    <w:rsid w:val="00FE1170"/>
    <w:rsid w:val="00FE1408"/>
    <w:rsid w:val="00FE1495"/>
    <w:rsid w:val="00FE16E2"/>
    <w:rsid w:val="00FE17B3"/>
    <w:rsid w:val="00FE17B8"/>
    <w:rsid w:val="00FE1D5E"/>
    <w:rsid w:val="00FE1E34"/>
    <w:rsid w:val="00FE2042"/>
    <w:rsid w:val="00FE204A"/>
    <w:rsid w:val="00FE215B"/>
    <w:rsid w:val="00FE255A"/>
    <w:rsid w:val="00FE2631"/>
    <w:rsid w:val="00FE28F6"/>
    <w:rsid w:val="00FE297D"/>
    <w:rsid w:val="00FE2BFE"/>
    <w:rsid w:val="00FE2EF8"/>
    <w:rsid w:val="00FE310B"/>
    <w:rsid w:val="00FE34F4"/>
    <w:rsid w:val="00FE36C4"/>
    <w:rsid w:val="00FE3738"/>
    <w:rsid w:val="00FE3C20"/>
    <w:rsid w:val="00FE3F6C"/>
    <w:rsid w:val="00FE3FD6"/>
    <w:rsid w:val="00FE45F9"/>
    <w:rsid w:val="00FE4798"/>
    <w:rsid w:val="00FE4B4F"/>
    <w:rsid w:val="00FE4C52"/>
    <w:rsid w:val="00FE4F2D"/>
    <w:rsid w:val="00FE4FDD"/>
    <w:rsid w:val="00FE5165"/>
    <w:rsid w:val="00FE5346"/>
    <w:rsid w:val="00FE5356"/>
    <w:rsid w:val="00FE5358"/>
    <w:rsid w:val="00FE5AFC"/>
    <w:rsid w:val="00FE6102"/>
    <w:rsid w:val="00FE6645"/>
    <w:rsid w:val="00FE684B"/>
    <w:rsid w:val="00FE6AA6"/>
    <w:rsid w:val="00FE6BBD"/>
    <w:rsid w:val="00FE6C5B"/>
    <w:rsid w:val="00FE6DFF"/>
    <w:rsid w:val="00FE7207"/>
    <w:rsid w:val="00FE72EA"/>
    <w:rsid w:val="00FE73E0"/>
    <w:rsid w:val="00FE7496"/>
    <w:rsid w:val="00FE74A4"/>
    <w:rsid w:val="00FE7806"/>
    <w:rsid w:val="00FE798A"/>
    <w:rsid w:val="00FE7BCD"/>
    <w:rsid w:val="00FE7C5A"/>
    <w:rsid w:val="00FE7E67"/>
    <w:rsid w:val="00FF01E1"/>
    <w:rsid w:val="00FF02D1"/>
    <w:rsid w:val="00FF0684"/>
    <w:rsid w:val="00FF0ABB"/>
    <w:rsid w:val="00FF0C95"/>
    <w:rsid w:val="00FF0E66"/>
    <w:rsid w:val="00FF10AB"/>
    <w:rsid w:val="00FF13F3"/>
    <w:rsid w:val="00FF18AE"/>
    <w:rsid w:val="00FF197A"/>
    <w:rsid w:val="00FF19D6"/>
    <w:rsid w:val="00FF1BA6"/>
    <w:rsid w:val="00FF1E63"/>
    <w:rsid w:val="00FF1EF1"/>
    <w:rsid w:val="00FF2102"/>
    <w:rsid w:val="00FF22F2"/>
    <w:rsid w:val="00FF25D6"/>
    <w:rsid w:val="00FF2668"/>
    <w:rsid w:val="00FF2A82"/>
    <w:rsid w:val="00FF2D09"/>
    <w:rsid w:val="00FF3332"/>
    <w:rsid w:val="00FF365C"/>
    <w:rsid w:val="00FF39E7"/>
    <w:rsid w:val="00FF3C26"/>
    <w:rsid w:val="00FF3E0D"/>
    <w:rsid w:val="00FF3E30"/>
    <w:rsid w:val="00FF3E88"/>
    <w:rsid w:val="00FF4028"/>
    <w:rsid w:val="00FF40CB"/>
    <w:rsid w:val="00FF4126"/>
    <w:rsid w:val="00FF4186"/>
    <w:rsid w:val="00FF474B"/>
    <w:rsid w:val="00FF4D97"/>
    <w:rsid w:val="00FF4F63"/>
    <w:rsid w:val="00FF506E"/>
    <w:rsid w:val="00FF5196"/>
    <w:rsid w:val="00FF51A8"/>
    <w:rsid w:val="00FF550A"/>
    <w:rsid w:val="00FF5BE0"/>
    <w:rsid w:val="00FF5CDD"/>
    <w:rsid w:val="00FF5DA7"/>
    <w:rsid w:val="00FF60C1"/>
    <w:rsid w:val="00FF6145"/>
    <w:rsid w:val="00FF61AC"/>
    <w:rsid w:val="00FF640A"/>
    <w:rsid w:val="00FF6760"/>
    <w:rsid w:val="00FF6A23"/>
    <w:rsid w:val="00FF6C35"/>
    <w:rsid w:val="00FF6D8E"/>
    <w:rsid w:val="00FF6E17"/>
    <w:rsid w:val="00FF6E38"/>
    <w:rsid w:val="00FF748A"/>
    <w:rsid w:val="00FF76F9"/>
    <w:rsid w:val="00FF7C0A"/>
    <w:rsid w:val="00FF7E35"/>
    <w:rsid w:val="00FF7EB8"/>
    <w:rsid w:val="0130B831"/>
    <w:rsid w:val="01DE7BD7"/>
    <w:rsid w:val="01DEF966"/>
    <w:rsid w:val="01EC5046"/>
    <w:rsid w:val="0215690A"/>
    <w:rsid w:val="02BAB862"/>
    <w:rsid w:val="03FB982A"/>
    <w:rsid w:val="04536AB4"/>
    <w:rsid w:val="04709210"/>
    <w:rsid w:val="047EE19E"/>
    <w:rsid w:val="04ACD662"/>
    <w:rsid w:val="04DF6D5D"/>
    <w:rsid w:val="04EDD604"/>
    <w:rsid w:val="04F74BE1"/>
    <w:rsid w:val="0541A339"/>
    <w:rsid w:val="056722CE"/>
    <w:rsid w:val="059FF05F"/>
    <w:rsid w:val="05BB3F1E"/>
    <w:rsid w:val="064ACAAA"/>
    <w:rsid w:val="064C3D62"/>
    <w:rsid w:val="06A4A0C6"/>
    <w:rsid w:val="074559BA"/>
    <w:rsid w:val="07584C69"/>
    <w:rsid w:val="07B5C7C8"/>
    <w:rsid w:val="07BB9257"/>
    <w:rsid w:val="07F72877"/>
    <w:rsid w:val="07FFFB5B"/>
    <w:rsid w:val="0820851A"/>
    <w:rsid w:val="0824FCE1"/>
    <w:rsid w:val="0868B38F"/>
    <w:rsid w:val="08B89870"/>
    <w:rsid w:val="09059A0B"/>
    <w:rsid w:val="09485826"/>
    <w:rsid w:val="0991299B"/>
    <w:rsid w:val="09FFB909"/>
    <w:rsid w:val="0A2CB9DC"/>
    <w:rsid w:val="0A5D5CA1"/>
    <w:rsid w:val="0A67708E"/>
    <w:rsid w:val="0A81BF71"/>
    <w:rsid w:val="0AE21D4A"/>
    <w:rsid w:val="0B4E296C"/>
    <w:rsid w:val="0B60C2BA"/>
    <w:rsid w:val="0BC9C478"/>
    <w:rsid w:val="0C54F2A6"/>
    <w:rsid w:val="0C896113"/>
    <w:rsid w:val="0D3FC5B5"/>
    <w:rsid w:val="0D4163A3"/>
    <w:rsid w:val="0DE815EC"/>
    <w:rsid w:val="0DEAC2B5"/>
    <w:rsid w:val="0E0BFC29"/>
    <w:rsid w:val="0E34E42F"/>
    <w:rsid w:val="0E3675C5"/>
    <w:rsid w:val="0E755E34"/>
    <w:rsid w:val="0F451F49"/>
    <w:rsid w:val="0F9562D5"/>
    <w:rsid w:val="0FD20713"/>
    <w:rsid w:val="0FDA7852"/>
    <w:rsid w:val="1026D9B1"/>
    <w:rsid w:val="1062963F"/>
    <w:rsid w:val="110C2CAC"/>
    <w:rsid w:val="115C30D9"/>
    <w:rsid w:val="1181C31A"/>
    <w:rsid w:val="11BC39BE"/>
    <w:rsid w:val="11E314EF"/>
    <w:rsid w:val="1201B7B9"/>
    <w:rsid w:val="123AB86B"/>
    <w:rsid w:val="12641071"/>
    <w:rsid w:val="127ADFAE"/>
    <w:rsid w:val="12BC9B41"/>
    <w:rsid w:val="13131B0F"/>
    <w:rsid w:val="1314F4B2"/>
    <w:rsid w:val="138ED748"/>
    <w:rsid w:val="13E7931A"/>
    <w:rsid w:val="1406B266"/>
    <w:rsid w:val="142DE643"/>
    <w:rsid w:val="155DDDC2"/>
    <w:rsid w:val="157EB933"/>
    <w:rsid w:val="16004428"/>
    <w:rsid w:val="165D16FA"/>
    <w:rsid w:val="167E15D4"/>
    <w:rsid w:val="16D5279F"/>
    <w:rsid w:val="1777D958"/>
    <w:rsid w:val="1830ABDB"/>
    <w:rsid w:val="187E25A0"/>
    <w:rsid w:val="18F4D121"/>
    <w:rsid w:val="193144CB"/>
    <w:rsid w:val="19678BCB"/>
    <w:rsid w:val="19846D78"/>
    <w:rsid w:val="19F50E87"/>
    <w:rsid w:val="1A010DE1"/>
    <w:rsid w:val="1A199C8B"/>
    <w:rsid w:val="1A1E8369"/>
    <w:rsid w:val="1A635C03"/>
    <w:rsid w:val="1AF83DBF"/>
    <w:rsid w:val="1AF874EE"/>
    <w:rsid w:val="1B1FF69C"/>
    <w:rsid w:val="1B38EED7"/>
    <w:rsid w:val="1C0CD646"/>
    <w:rsid w:val="1C90C74F"/>
    <w:rsid w:val="1CB500F6"/>
    <w:rsid w:val="1D32113F"/>
    <w:rsid w:val="1D695C04"/>
    <w:rsid w:val="1DC9CFFB"/>
    <w:rsid w:val="1DF9CCBE"/>
    <w:rsid w:val="1E279508"/>
    <w:rsid w:val="1E6F1F13"/>
    <w:rsid w:val="1F0964D7"/>
    <w:rsid w:val="1F679A1F"/>
    <w:rsid w:val="1F7B538F"/>
    <w:rsid w:val="1F864BC7"/>
    <w:rsid w:val="1FB8C566"/>
    <w:rsid w:val="207CE8E9"/>
    <w:rsid w:val="20B8B773"/>
    <w:rsid w:val="20BF623F"/>
    <w:rsid w:val="20BFE123"/>
    <w:rsid w:val="20C96921"/>
    <w:rsid w:val="20FA02BE"/>
    <w:rsid w:val="2114FA65"/>
    <w:rsid w:val="211894AC"/>
    <w:rsid w:val="211A77A3"/>
    <w:rsid w:val="21690B45"/>
    <w:rsid w:val="21CBE5AE"/>
    <w:rsid w:val="22A95728"/>
    <w:rsid w:val="23448100"/>
    <w:rsid w:val="2445A1DD"/>
    <w:rsid w:val="2490F541"/>
    <w:rsid w:val="24A15DE8"/>
    <w:rsid w:val="24A67AB2"/>
    <w:rsid w:val="2609DD9A"/>
    <w:rsid w:val="26679E13"/>
    <w:rsid w:val="27498C2B"/>
    <w:rsid w:val="275CA4AA"/>
    <w:rsid w:val="2761095F"/>
    <w:rsid w:val="279A64DE"/>
    <w:rsid w:val="27DE3FF1"/>
    <w:rsid w:val="2810F018"/>
    <w:rsid w:val="281612AB"/>
    <w:rsid w:val="282F8E31"/>
    <w:rsid w:val="28478406"/>
    <w:rsid w:val="2885DA57"/>
    <w:rsid w:val="2909AD88"/>
    <w:rsid w:val="291A693A"/>
    <w:rsid w:val="2955D813"/>
    <w:rsid w:val="296650A8"/>
    <w:rsid w:val="29846FBF"/>
    <w:rsid w:val="29D1DC6D"/>
    <w:rsid w:val="29F8BA58"/>
    <w:rsid w:val="29F97BAF"/>
    <w:rsid w:val="2A1BAFCD"/>
    <w:rsid w:val="2A22A14D"/>
    <w:rsid w:val="2B3765A1"/>
    <w:rsid w:val="2B3E96E6"/>
    <w:rsid w:val="2BC71F25"/>
    <w:rsid w:val="2BD2AA4F"/>
    <w:rsid w:val="2C28D92A"/>
    <w:rsid w:val="2C2B2A6F"/>
    <w:rsid w:val="2C787472"/>
    <w:rsid w:val="2D1F4813"/>
    <w:rsid w:val="2D9E011A"/>
    <w:rsid w:val="2E01FFD0"/>
    <w:rsid w:val="2E02A2A9"/>
    <w:rsid w:val="2E03315E"/>
    <w:rsid w:val="2E18A407"/>
    <w:rsid w:val="2E64B28A"/>
    <w:rsid w:val="2E77F557"/>
    <w:rsid w:val="2F39C624"/>
    <w:rsid w:val="2F8CB009"/>
    <w:rsid w:val="2FAAB34B"/>
    <w:rsid w:val="2FB86605"/>
    <w:rsid w:val="2FCFEF63"/>
    <w:rsid w:val="3011601A"/>
    <w:rsid w:val="306F5C7F"/>
    <w:rsid w:val="30ABCFE8"/>
    <w:rsid w:val="30EC0BF8"/>
    <w:rsid w:val="3176F57C"/>
    <w:rsid w:val="3178A65C"/>
    <w:rsid w:val="31CB2655"/>
    <w:rsid w:val="32611510"/>
    <w:rsid w:val="32D56887"/>
    <w:rsid w:val="32FF44E8"/>
    <w:rsid w:val="335640E2"/>
    <w:rsid w:val="33D10666"/>
    <w:rsid w:val="33D81133"/>
    <w:rsid w:val="33E932A4"/>
    <w:rsid w:val="342E25B0"/>
    <w:rsid w:val="34359EFB"/>
    <w:rsid w:val="34934346"/>
    <w:rsid w:val="34BBCE62"/>
    <w:rsid w:val="359C8ACA"/>
    <w:rsid w:val="35B4A506"/>
    <w:rsid w:val="35B56D59"/>
    <w:rsid w:val="35C36FD8"/>
    <w:rsid w:val="35DD8BEC"/>
    <w:rsid w:val="35EE0B82"/>
    <w:rsid w:val="35F455F5"/>
    <w:rsid w:val="3626C392"/>
    <w:rsid w:val="363BD7C7"/>
    <w:rsid w:val="3692FDB6"/>
    <w:rsid w:val="36F6F7A3"/>
    <w:rsid w:val="374A609A"/>
    <w:rsid w:val="37740530"/>
    <w:rsid w:val="37A1A8D2"/>
    <w:rsid w:val="37B49AA4"/>
    <w:rsid w:val="37FE9EEF"/>
    <w:rsid w:val="3801E5EA"/>
    <w:rsid w:val="380A8EFE"/>
    <w:rsid w:val="3839A658"/>
    <w:rsid w:val="385D2743"/>
    <w:rsid w:val="388869B1"/>
    <w:rsid w:val="38C3F6E6"/>
    <w:rsid w:val="38D5C174"/>
    <w:rsid w:val="395B66E3"/>
    <w:rsid w:val="3970EFC5"/>
    <w:rsid w:val="39CA9575"/>
    <w:rsid w:val="39E51D90"/>
    <w:rsid w:val="3A99FF85"/>
    <w:rsid w:val="3B62F8D3"/>
    <w:rsid w:val="3CB49AC2"/>
    <w:rsid w:val="3D34E87E"/>
    <w:rsid w:val="3D508ACE"/>
    <w:rsid w:val="3D7D3D1A"/>
    <w:rsid w:val="3D9743F6"/>
    <w:rsid w:val="3DD8BF69"/>
    <w:rsid w:val="3DDB8E66"/>
    <w:rsid w:val="3DE68321"/>
    <w:rsid w:val="3E46D799"/>
    <w:rsid w:val="3E47AF10"/>
    <w:rsid w:val="3EB00430"/>
    <w:rsid w:val="3F053F96"/>
    <w:rsid w:val="3F17319C"/>
    <w:rsid w:val="3F5A45C4"/>
    <w:rsid w:val="3F8C45A3"/>
    <w:rsid w:val="3FC7C512"/>
    <w:rsid w:val="40200F20"/>
    <w:rsid w:val="402A88A1"/>
    <w:rsid w:val="403A786A"/>
    <w:rsid w:val="4087C19E"/>
    <w:rsid w:val="412ACC61"/>
    <w:rsid w:val="41BA3ECC"/>
    <w:rsid w:val="41C27420"/>
    <w:rsid w:val="421EDBA4"/>
    <w:rsid w:val="42525983"/>
    <w:rsid w:val="428E3552"/>
    <w:rsid w:val="42C45F39"/>
    <w:rsid w:val="42C471D9"/>
    <w:rsid w:val="42EA1273"/>
    <w:rsid w:val="42FF7E34"/>
    <w:rsid w:val="4340683F"/>
    <w:rsid w:val="436481E1"/>
    <w:rsid w:val="4373BEA4"/>
    <w:rsid w:val="43BA6128"/>
    <w:rsid w:val="446CB039"/>
    <w:rsid w:val="455AB758"/>
    <w:rsid w:val="4574EEB6"/>
    <w:rsid w:val="4594D900"/>
    <w:rsid w:val="45D69CA1"/>
    <w:rsid w:val="461764B3"/>
    <w:rsid w:val="461FBF29"/>
    <w:rsid w:val="4703747A"/>
    <w:rsid w:val="47500E3A"/>
    <w:rsid w:val="47CCB9F0"/>
    <w:rsid w:val="47FDAE62"/>
    <w:rsid w:val="4823E729"/>
    <w:rsid w:val="4892792F"/>
    <w:rsid w:val="48A7812B"/>
    <w:rsid w:val="4922AAA1"/>
    <w:rsid w:val="49506651"/>
    <w:rsid w:val="49922C8F"/>
    <w:rsid w:val="4A76F462"/>
    <w:rsid w:val="4A8A3694"/>
    <w:rsid w:val="4AC45AD0"/>
    <w:rsid w:val="4AE46C28"/>
    <w:rsid w:val="4B395404"/>
    <w:rsid w:val="4BA9A86E"/>
    <w:rsid w:val="4C3091F6"/>
    <w:rsid w:val="4C85F08B"/>
    <w:rsid w:val="4D11664A"/>
    <w:rsid w:val="4D5491B0"/>
    <w:rsid w:val="4E7DBA30"/>
    <w:rsid w:val="4E7F3BAC"/>
    <w:rsid w:val="4E8B2544"/>
    <w:rsid w:val="4EE8A63C"/>
    <w:rsid w:val="4F25DB4D"/>
    <w:rsid w:val="4FC7B18E"/>
    <w:rsid w:val="50697CD4"/>
    <w:rsid w:val="507ADF84"/>
    <w:rsid w:val="50B2EDE5"/>
    <w:rsid w:val="50B4C152"/>
    <w:rsid w:val="50D7FE6F"/>
    <w:rsid w:val="5160E29A"/>
    <w:rsid w:val="51A16CCF"/>
    <w:rsid w:val="52703802"/>
    <w:rsid w:val="528C6F9F"/>
    <w:rsid w:val="52EA28FD"/>
    <w:rsid w:val="52EAACEA"/>
    <w:rsid w:val="533584B7"/>
    <w:rsid w:val="53671811"/>
    <w:rsid w:val="536E1445"/>
    <w:rsid w:val="53AB192F"/>
    <w:rsid w:val="53F25FC7"/>
    <w:rsid w:val="54A49D0A"/>
    <w:rsid w:val="54C333D9"/>
    <w:rsid w:val="54F498E3"/>
    <w:rsid w:val="54F73A42"/>
    <w:rsid w:val="55461D82"/>
    <w:rsid w:val="55FE95C1"/>
    <w:rsid w:val="56284F95"/>
    <w:rsid w:val="56A0C113"/>
    <w:rsid w:val="56A791B2"/>
    <w:rsid w:val="574A5938"/>
    <w:rsid w:val="57558481"/>
    <w:rsid w:val="579B0D16"/>
    <w:rsid w:val="57C85B64"/>
    <w:rsid w:val="57E20F89"/>
    <w:rsid w:val="58352625"/>
    <w:rsid w:val="583F3D3A"/>
    <w:rsid w:val="5877AEF7"/>
    <w:rsid w:val="5886EE99"/>
    <w:rsid w:val="58938736"/>
    <w:rsid w:val="58AA9C80"/>
    <w:rsid w:val="58DDDEAA"/>
    <w:rsid w:val="59221924"/>
    <w:rsid w:val="594601FD"/>
    <w:rsid w:val="5A6ED185"/>
    <w:rsid w:val="5AAC1605"/>
    <w:rsid w:val="5AB074BF"/>
    <w:rsid w:val="5B29DF68"/>
    <w:rsid w:val="5BB6A190"/>
    <w:rsid w:val="5BD936BF"/>
    <w:rsid w:val="5BF7A79B"/>
    <w:rsid w:val="5C319EBB"/>
    <w:rsid w:val="5CA526C3"/>
    <w:rsid w:val="5CBC403B"/>
    <w:rsid w:val="5D20680F"/>
    <w:rsid w:val="5D5FA44B"/>
    <w:rsid w:val="5D78BE8B"/>
    <w:rsid w:val="5D8CA5A7"/>
    <w:rsid w:val="5E3B8FE5"/>
    <w:rsid w:val="5EBF1BD6"/>
    <w:rsid w:val="5F1E09FB"/>
    <w:rsid w:val="5F1FB99E"/>
    <w:rsid w:val="5FB8FBAC"/>
    <w:rsid w:val="5FDFF169"/>
    <w:rsid w:val="5FEF5B5F"/>
    <w:rsid w:val="5FF56BFD"/>
    <w:rsid w:val="604682AE"/>
    <w:rsid w:val="60916574"/>
    <w:rsid w:val="60A8E05A"/>
    <w:rsid w:val="60D5A822"/>
    <w:rsid w:val="61B06202"/>
    <w:rsid w:val="622E9FE8"/>
    <w:rsid w:val="623721F9"/>
    <w:rsid w:val="62746FA0"/>
    <w:rsid w:val="62E34704"/>
    <w:rsid w:val="645F6134"/>
    <w:rsid w:val="646BADD3"/>
    <w:rsid w:val="648E7E04"/>
    <w:rsid w:val="64B44E0C"/>
    <w:rsid w:val="64C35740"/>
    <w:rsid w:val="6558FEB7"/>
    <w:rsid w:val="65AC3029"/>
    <w:rsid w:val="65FAAF90"/>
    <w:rsid w:val="66940E16"/>
    <w:rsid w:val="66C0B103"/>
    <w:rsid w:val="66E3F139"/>
    <w:rsid w:val="66F26E3A"/>
    <w:rsid w:val="672552F9"/>
    <w:rsid w:val="6731FD63"/>
    <w:rsid w:val="675DB98E"/>
    <w:rsid w:val="676C42C6"/>
    <w:rsid w:val="676D022C"/>
    <w:rsid w:val="67711052"/>
    <w:rsid w:val="6814C6B7"/>
    <w:rsid w:val="684AB6AB"/>
    <w:rsid w:val="6885B4C8"/>
    <w:rsid w:val="689B891F"/>
    <w:rsid w:val="69376E8E"/>
    <w:rsid w:val="695C8DA3"/>
    <w:rsid w:val="69A3B24D"/>
    <w:rsid w:val="69F02C1E"/>
    <w:rsid w:val="69FBECDF"/>
    <w:rsid w:val="6A0FB274"/>
    <w:rsid w:val="6B16CBAC"/>
    <w:rsid w:val="6B2CD26A"/>
    <w:rsid w:val="6B62DDBF"/>
    <w:rsid w:val="6C9D2862"/>
    <w:rsid w:val="6CDBACA8"/>
    <w:rsid w:val="6CE1911C"/>
    <w:rsid w:val="6D70A47B"/>
    <w:rsid w:val="6D712884"/>
    <w:rsid w:val="6DB6BF75"/>
    <w:rsid w:val="6DD51A96"/>
    <w:rsid w:val="6DE25961"/>
    <w:rsid w:val="6E1D2D23"/>
    <w:rsid w:val="6E571F34"/>
    <w:rsid w:val="6E982161"/>
    <w:rsid w:val="6FA94859"/>
    <w:rsid w:val="702B5082"/>
    <w:rsid w:val="706458F0"/>
    <w:rsid w:val="7079CD7B"/>
    <w:rsid w:val="7082D379"/>
    <w:rsid w:val="7205BB10"/>
    <w:rsid w:val="725D8372"/>
    <w:rsid w:val="72658D0B"/>
    <w:rsid w:val="7297C9B3"/>
    <w:rsid w:val="72BA939E"/>
    <w:rsid w:val="73E0C356"/>
    <w:rsid w:val="7465CD17"/>
    <w:rsid w:val="74825858"/>
    <w:rsid w:val="74B6C82D"/>
    <w:rsid w:val="74D4EFA5"/>
    <w:rsid w:val="74F0BE51"/>
    <w:rsid w:val="75279D28"/>
    <w:rsid w:val="759A91E9"/>
    <w:rsid w:val="75A11762"/>
    <w:rsid w:val="75DC0765"/>
    <w:rsid w:val="76980B3C"/>
    <w:rsid w:val="76980C30"/>
    <w:rsid w:val="76E6C360"/>
    <w:rsid w:val="76F4A4F7"/>
    <w:rsid w:val="77033506"/>
    <w:rsid w:val="7716D328"/>
    <w:rsid w:val="775DDA07"/>
    <w:rsid w:val="7817CE66"/>
    <w:rsid w:val="78BBC86A"/>
    <w:rsid w:val="78D0FF33"/>
    <w:rsid w:val="7925A89E"/>
    <w:rsid w:val="792D2BA0"/>
    <w:rsid w:val="79AD664F"/>
    <w:rsid w:val="79CB6F6E"/>
    <w:rsid w:val="7A2E3463"/>
    <w:rsid w:val="7A45185F"/>
    <w:rsid w:val="7A4DD515"/>
    <w:rsid w:val="7A7FFC1B"/>
    <w:rsid w:val="7ADD5552"/>
    <w:rsid w:val="7B2400E2"/>
    <w:rsid w:val="7B2D6BDB"/>
    <w:rsid w:val="7B848EE6"/>
    <w:rsid w:val="7B923772"/>
    <w:rsid w:val="7BE36F2D"/>
    <w:rsid w:val="7D121023"/>
    <w:rsid w:val="7D4C01BE"/>
    <w:rsid w:val="7D75DE05"/>
    <w:rsid w:val="7D87FF76"/>
    <w:rsid w:val="7DCA734D"/>
    <w:rsid w:val="7DD000E2"/>
    <w:rsid w:val="7E58D960"/>
    <w:rsid w:val="7EF41FC9"/>
    <w:rsid w:val="7F7983AC"/>
    <w:rsid w:val="7F7E4E30"/>
    <w:rsid w:val="7F9660DC"/>
    <w:rsid w:val="7FD63E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6B3788"/>
  <w15:chartTrackingRefBased/>
  <w15:docId w15:val="{C3AFA643-72C7-42AB-B928-10EE59EB7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E74"/>
    <w:pPr>
      <w:spacing w:before="0" w:after="160" w:line="259" w:lineRule="auto"/>
    </w:pPr>
  </w:style>
  <w:style w:type="paragraph" w:styleId="Heading1">
    <w:name w:val="heading 1"/>
    <w:basedOn w:val="Normal"/>
    <w:next w:val="Normal"/>
    <w:link w:val="Heading1Char"/>
    <w:uiPriority w:val="9"/>
    <w:qFormat/>
    <w:rsid w:val="00EE74E3"/>
    <w:pPr>
      <w:keepNext/>
      <w:keepLines/>
      <w:numPr>
        <w:numId w:val="2"/>
      </w:numPr>
      <w:spacing w:before="120" w:after="0"/>
      <w:ind w:left="360" w:hanging="360"/>
      <w:outlineLvl w:val="0"/>
    </w:pPr>
    <w:rPr>
      <w:rFonts w:ascii="Arial" w:eastAsiaTheme="majorEastAsia" w:hAnsi="Arial" w:cstheme="majorBidi"/>
      <w:b/>
      <w:color w:val="096080"/>
      <w:sz w:val="28"/>
      <w:szCs w:val="32"/>
    </w:rPr>
  </w:style>
  <w:style w:type="paragraph" w:styleId="Heading2">
    <w:name w:val="heading 2"/>
    <w:basedOn w:val="Normal"/>
    <w:next w:val="Normal"/>
    <w:link w:val="Heading2Char"/>
    <w:uiPriority w:val="9"/>
    <w:unhideWhenUsed/>
    <w:qFormat/>
    <w:rsid w:val="001246CF"/>
    <w:pPr>
      <w:keepNext/>
      <w:keepLines/>
      <w:numPr>
        <w:ilvl w:val="1"/>
        <w:numId w:val="2"/>
      </w:numPr>
      <w:spacing w:before="40" w:after="0"/>
      <w:outlineLvl w:val="1"/>
    </w:pPr>
    <w:rPr>
      <w:rFonts w:ascii="Arial" w:eastAsiaTheme="majorEastAsia" w:hAnsi="Arial" w:cstheme="majorBidi"/>
      <w:color w:val="096080"/>
      <w:sz w:val="24"/>
      <w:szCs w:val="26"/>
    </w:rPr>
  </w:style>
  <w:style w:type="paragraph" w:styleId="Heading3">
    <w:name w:val="heading 3"/>
    <w:basedOn w:val="Normal"/>
    <w:next w:val="Normal"/>
    <w:link w:val="Heading3Char"/>
    <w:uiPriority w:val="9"/>
    <w:unhideWhenUsed/>
    <w:qFormat/>
    <w:rsid w:val="001246CF"/>
    <w:pPr>
      <w:keepNext/>
      <w:keepLines/>
      <w:numPr>
        <w:ilvl w:val="2"/>
        <w:numId w:val="2"/>
      </w:numPr>
      <w:spacing w:before="40" w:after="0"/>
      <w:outlineLvl w:val="2"/>
    </w:pPr>
    <w:rPr>
      <w:rFonts w:ascii="Arial" w:eastAsiaTheme="majorEastAsia" w:hAnsi="Arial" w:cstheme="majorBidi"/>
      <w:color w:val="096080"/>
      <w:szCs w:val="24"/>
    </w:rPr>
  </w:style>
  <w:style w:type="paragraph" w:styleId="Heading4">
    <w:name w:val="heading 4"/>
    <w:basedOn w:val="Normal"/>
    <w:next w:val="Normal"/>
    <w:link w:val="Heading4Char"/>
    <w:uiPriority w:val="9"/>
    <w:unhideWhenUsed/>
    <w:qFormat/>
    <w:rsid w:val="001246CF"/>
    <w:pPr>
      <w:keepNext/>
      <w:keepLines/>
      <w:numPr>
        <w:ilvl w:val="3"/>
        <w:numId w:val="2"/>
      </w:numPr>
      <w:spacing w:before="40" w:after="0"/>
      <w:outlineLvl w:val="3"/>
    </w:pPr>
    <w:rPr>
      <w:rFonts w:ascii="Arial" w:eastAsiaTheme="majorEastAsia" w:hAnsi="Arial" w:cstheme="majorBidi"/>
      <w:i/>
      <w:iCs/>
      <w:color w:val="096080"/>
    </w:rPr>
  </w:style>
  <w:style w:type="paragraph" w:styleId="Heading5">
    <w:name w:val="heading 5"/>
    <w:basedOn w:val="Normal"/>
    <w:next w:val="Normal"/>
    <w:link w:val="Heading5Char"/>
    <w:uiPriority w:val="9"/>
    <w:unhideWhenUsed/>
    <w:qFormat/>
    <w:rsid w:val="00B10281"/>
    <w:pPr>
      <w:keepNext/>
      <w:keepLines/>
      <w:numPr>
        <w:ilvl w:val="4"/>
        <w:numId w:val="2"/>
      </w:numPr>
      <w:spacing w:before="40" w:after="0"/>
      <w:contextualSpacing/>
      <w:outlineLvl w:val="4"/>
    </w:pPr>
    <w:rPr>
      <w:rFonts w:asciiTheme="majorHAnsi" w:eastAsiaTheme="majorEastAsia" w:hAnsiTheme="majorHAnsi" w:cstheme="majorBidi"/>
      <w:color w:val="096080"/>
    </w:rPr>
  </w:style>
  <w:style w:type="paragraph" w:styleId="Heading6">
    <w:name w:val="heading 6"/>
    <w:basedOn w:val="Normal"/>
    <w:next w:val="Normal"/>
    <w:link w:val="Heading6Char"/>
    <w:uiPriority w:val="9"/>
    <w:unhideWhenUsed/>
    <w:qFormat/>
    <w:rsid w:val="005A182D"/>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A182D"/>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A182D"/>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A182D"/>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182D"/>
    <w:rPr>
      <w:rFonts w:ascii="Arial" w:eastAsiaTheme="majorEastAsia" w:hAnsi="Arial" w:cstheme="majorBidi"/>
      <w:b/>
      <w:color w:val="096080"/>
      <w:sz w:val="28"/>
      <w:szCs w:val="32"/>
    </w:rPr>
  </w:style>
  <w:style w:type="character" w:customStyle="1" w:styleId="Heading2Char">
    <w:name w:val="Heading 2 Char"/>
    <w:basedOn w:val="DefaultParagraphFont"/>
    <w:link w:val="Heading2"/>
    <w:uiPriority w:val="9"/>
    <w:rsid w:val="005A182D"/>
    <w:rPr>
      <w:rFonts w:ascii="Arial" w:eastAsiaTheme="majorEastAsia" w:hAnsi="Arial" w:cstheme="majorBidi"/>
      <w:color w:val="096080"/>
      <w:sz w:val="24"/>
      <w:szCs w:val="26"/>
    </w:rPr>
  </w:style>
  <w:style w:type="character" w:customStyle="1" w:styleId="Heading3Char">
    <w:name w:val="Heading 3 Char"/>
    <w:basedOn w:val="DefaultParagraphFont"/>
    <w:link w:val="Heading3"/>
    <w:uiPriority w:val="9"/>
    <w:rsid w:val="005A182D"/>
    <w:rPr>
      <w:rFonts w:ascii="Arial" w:eastAsiaTheme="majorEastAsia" w:hAnsi="Arial" w:cstheme="majorBidi"/>
      <w:color w:val="096080"/>
      <w:szCs w:val="24"/>
    </w:rPr>
  </w:style>
  <w:style w:type="character" w:customStyle="1" w:styleId="Heading4Char">
    <w:name w:val="Heading 4 Char"/>
    <w:basedOn w:val="DefaultParagraphFont"/>
    <w:link w:val="Heading4"/>
    <w:uiPriority w:val="9"/>
    <w:rsid w:val="005A182D"/>
    <w:rPr>
      <w:rFonts w:ascii="Arial" w:eastAsiaTheme="majorEastAsia" w:hAnsi="Arial" w:cstheme="majorBidi"/>
      <w:i/>
      <w:iCs/>
      <w:color w:val="096080"/>
    </w:rPr>
  </w:style>
  <w:style w:type="character" w:customStyle="1" w:styleId="Heading5Char">
    <w:name w:val="Heading 5 Char"/>
    <w:basedOn w:val="DefaultParagraphFont"/>
    <w:link w:val="Heading5"/>
    <w:uiPriority w:val="9"/>
    <w:rsid w:val="005A182D"/>
    <w:rPr>
      <w:rFonts w:asciiTheme="majorHAnsi" w:eastAsiaTheme="majorEastAsia" w:hAnsiTheme="majorHAnsi" w:cstheme="majorBidi"/>
      <w:color w:val="096080"/>
    </w:rPr>
  </w:style>
  <w:style w:type="character" w:customStyle="1" w:styleId="Heading6Char">
    <w:name w:val="Heading 6 Char"/>
    <w:basedOn w:val="DefaultParagraphFont"/>
    <w:link w:val="Heading6"/>
    <w:uiPriority w:val="9"/>
    <w:rsid w:val="005A182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A182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A182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A182D"/>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uiPriority w:val="39"/>
    <w:unhideWhenUsed/>
    <w:rsid w:val="000077ED"/>
    <w:pPr>
      <w:tabs>
        <w:tab w:val="left" w:pos="450"/>
        <w:tab w:val="right" w:leader="dot" w:pos="9350"/>
      </w:tabs>
    </w:pPr>
    <w:rPr>
      <w:b/>
      <w:noProof/>
    </w:rPr>
  </w:style>
  <w:style w:type="paragraph" w:styleId="Title">
    <w:name w:val="Title"/>
    <w:basedOn w:val="Normal"/>
    <w:next w:val="Normal"/>
    <w:link w:val="TitleChar"/>
    <w:uiPriority w:val="10"/>
    <w:qFormat/>
    <w:rsid w:val="005A182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182D"/>
    <w:rPr>
      <w:rFonts w:asciiTheme="majorHAnsi" w:eastAsiaTheme="majorEastAsia" w:hAnsiTheme="majorHAnsi" w:cstheme="majorBidi"/>
      <w:spacing w:val="-10"/>
      <w:kern w:val="28"/>
      <w:sz w:val="56"/>
      <w:szCs w:val="56"/>
    </w:rPr>
  </w:style>
  <w:style w:type="paragraph" w:styleId="ListParagraph">
    <w:name w:val="List Paragraph"/>
    <w:aliases w:val="Bullet List,Issue Action POC,List Paragraph1,3,POCG Table Text,Dot pt,F5 List Paragraph,List Paragraph Char Char Char,Indicator Text,Colorful List - Accent 11,Numbered Para 1,Bullet Points,List Paragraph2,MAIN CONTENT,Bullet 1,Figure_name"/>
    <w:basedOn w:val="Normal"/>
    <w:link w:val="ListParagraphChar"/>
    <w:uiPriority w:val="34"/>
    <w:qFormat/>
    <w:rsid w:val="005A182D"/>
    <w:pPr>
      <w:ind w:left="720"/>
      <w:contextualSpacing/>
    </w:pPr>
  </w:style>
  <w:style w:type="paragraph" w:customStyle="1" w:styleId="paragraph">
    <w:name w:val="paragraph"/>
    <w:basedOn w:val="Normal"/>
    <w:rsid w:val="007D49F6"/>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7D49F6"/>
  </w:style>
  <w:style w:type="character" w:customStyle="1" w:styleId="eop">
    <w:name w:val="eop"/>
    <w:basedOn w:val="DefaultParagraphFont"/>
    <w:rsid w:val="007D49F6"/>
  </w:style>
  <w:style w:type="paragraph" w:styleId="Header">
    <w:name w:val="header"/>
    <w:basedOn w:val="Normal"/>
    <w:link w:val="HeaderChar"/>
    <w:uiPriority w:val="99"/>
    <w:unhideWhenUsed/>
    <w:rsid w:val="007F1198"/>
    <w:pPr>
      <w:tabs>
        <w:tab w:val="center" w:pos="4680"/>
        <w:tab w:val="right" w:pos="9360"/>
      </w:tabs>
    </w:pPr>
  </w:style>
  <w:style w:type="character" w:customStyle="1" w:styleId="HeaderChar">
    <w:name w:val="Header Char"/>
    <w:basedOn w:val="DefaultParagraphFont"/>
    <w:link w:val="Header"/>
    <w:uiPriority w:val="99"/>
    <w:rsid w:val="007F1198"/>
  </w:style>
  <w:style w:type="paragraph" w:styleId="Footer">
    <w:name w:val="footer"/>
    <w:basedOn w:val="Normal"/>
    <w:link w:val="FooterChar"/>
    <w:uiPriority w:val="99"/>
    <w:unhideWhenUsed/>
    <w:rsid w:val="007F1198"/>
    <w:pPr>
      <w:tabs>
        <w:tab w:val="center" w:pos="4680"/>
        <w:tab w:val="right" w:pos="9360"/>
      </w:tabs>
    </w:pPr>
  </w:style>
  <w:style w:type="character" w:customStyle="1" w:styleId="FooterChar">
    <w:name w:val="Footer Char"/>
    <w:basedOn w:val="DefaultParagraphFont"/>
    <w:link w:val="Footer"/>
    <w:uiPriority w:val="99"/>
    <w:rsid w:val="007F1198"/>
  </w:style>
  <w:style w:type="character" w:styleId="CommentReference">
    <w:name w:val="annotation reference"/>
    <w:basedOn w:val="DefaultParagraphFont"/>
    <w:uiPriority w:val="99"/>
    <w:unhideWhenUsed/>
    <w:rsid w:val="009859A4"/>
    <w:rPr>
      <w:sz w:val="16"/>
      <w:szCs w:val="16"/>
    </w:rPr>
  </w:style>
  <w:style w:type="paragraph" w:styleId="CommentText">
    <w:name w:val="annotation text"/>
    <w:basedOn w:val="Normal"/>
    <w:link w:val="CommentTextChar"/>
    <w:uiPriority w:val="99"/>
    <w:unhideWhenUsed/>
    <w:rsid w:val="009859A4"/>
    <w:rPr>
      <w:sz w:val="20"/>
      <w:szCs w:val="20"/>
    </w:rPr>
  </w:style>
  <w:style w:type="character" w:customStyle="1" w:styleId="CommentTextChar">
    <w:name w:val="Comment Text Char"/>
    <w:basedOn w:val="DefaultParagraphFont"/>
    <w:link w:val="CommentText"/>
    <w:uiPriority w:val="99"/>
    <w:rsid w:val="009859A4"/>
    <w:rPr>
      <w:sz w:val="20"/>
      <w:szCs w:val="20"/>
    </w:rPr>
  </w:style>
  <w:style w:type="paragraph" w:styleId="CommentSubject">
    <w:name w:val="annotation subject"/>
    <w:basedOn w:val="CommentText"/>
    <w:next w:val="CommentText"/>
    <w:link w:val="CommentSubjectChar"/>
    <w:uiPriority w:val="99"/>
    <w:semiHidden/>
    <w:unhideWhenUsed/>
    <w:rsid w:val="009859A4"/>
    <w:rPr>
      <w:b/>
      <w:bCs/>
    </w:rPr>
  </w:style>
  <w:style w:type="character" w:customStyle="1" w:styleId="CommentSubjectChar">
    <w:name w:val="Comment Subject Char"/>
    <w:basedOn w:val="CommentTextChar"/>
    <w:link w:val="CommentSubject"/>
    <w:uiPriority w:val="99"/>
    <w:semiHidden/>
    <w:rsid w:val="009859A4"/>
    <w:rPr>
      <w:b/>
      <w:bCs/>
      <w:sz w:val="20"/>
      <w:szCs w:val="20"/>
    </w:rPr>
  </w:style>
  <w:style w:type="table" w:customStyle="1" w:styleId="TableGrid1">
    <w:name w:val="Table Grid1"/>
    <w:rsid w:val="004F713C"/>
    <w:rPr>
      <w:rFonts w:eastAsiaTheme="minorEastAsia"/>
    </w:rPr>
    <w:tblPr>
      <w:tblCellMar>
        <w:top w:w="0" w:type="dxa"/>
        <w:left w:w="0" w:type="dxa"/>
        <w:bottom w:w="0" w:type="dxa"/>
        <w:right w:w="0" w:type="dxa"/>
      </w:tblCellMar>
    </w:tblPr>
  </w:style>
  <w:style w:type="character" w:styleId="UnresolvedMention">
    <w:name w:val="Unresolved Mention"/>
    <w:basedOn w:val="DefaultParagraphFont"/>
    <w:uiPriority w:val="99"/>
    <w:unhideWhenUsed/>
    <w:rsid w:val="006F1EE1"/>
    <w:rPr>
      <w:color w:val="605E5C"/>
      <w:shd w:val="clear" w:color="auto" w:fill="E1DFDD"/>
    </w:rPr>
  </w:style>
  <w:style w:type="character" w:styleId="Mention">
    <w:name w:val="Mention"/>
    <w:basedOn w:val="DefaultParagraphFont"/>
    <w:uiPriority w:val="99"/>
    <w:unhideWhenUsed/>
    <w:rsid w:val="006F1EE1"/>
    <w:rPr>
      <w:color w:val="2B579A"/>
      <w:shd w:val="clear" w:color="auto" w:fill="E1DFDD"/>
    </w:rPr>
  </w:style>
  <w:style w:type="character" w:styleId="Hyperlink">
    <w:name w:val="Hyperlink"/>
    <w:basedOn w:val="DefaultParagraphFont"/>
    <w:uiPriority w:val="99"/>
    <w:unhideWhenUsed/>
    <w:rsid w:val="005939F1"/>
    <w:rPr>
      <w:color w:val="0563C1" w:themeColor="hyperlink"/>
      <w:u w:val="single"/>
    </w:rPr>
  </w:style>
  <w:style w:type="character" w:styleId="FollowedHyperlink">
    <w:name w:val="FollowedHyperlink"/>
    <w:basedOn w:val="DefaultParagraphFont"/>
    <w:uiPriority w:val="99"/>
    <w:semiHidden/>
    <w:unhideWhenUsed/>
    <w:rsid w:val="004D46EF"/>
    <w:rPr>
      <w:color w:val="954F72" w:themeColor="followedHyperlink"/>
      <w:u w:val="single"/>
    </w:rPr>
  </w:style>
  <w:style w:type="paragraph" w:styleId="TOCHeading">
    <w:name w:val="TOC Heading"/>
    <w:basedOn w:val="Heading1"/>
    <w:next w:val="Normal"/>
    <w:uiPriority w:val="39"/>
    <w:unhideWhenUsed/>
    <w:qFormat/>
    <w:rsid w:val="00105AE3"/>
    <w:pPr>
      <w:outlineLvl w:val="9"/>
    </w:pPr>
    <w:rPr>
      <w:b w:val="0"/>
    </w:rPr>
  </w:style>
  <w:style w:type="paragraph" w:styleId="TOC2">
    <w:name w:val="toc 2"/>
    <w:basedOn w:val="Normal"/>
    <w:next w:val="Normal"/>
    <w:autoRedefine/>
    <w:uiPriority w:val="39"/>
    <w:unhideWhenUsed/>
    <w:rsid w:val="000E52E9"/>
    <w:pPr>
      <w:tabs>
        <w:tab w:val="left" w:pos="880"/>
        <w:tab w:val="right" w:leader="dot" w:pos="9350"/>
      </w:tabs>
      <w:spacing w:after="0" w:line="240" w:lineRule="auto"/>
      <w:ind w:left="446"/>
    </w:pPr>
  </w:style>
  <w:style w:type="paragraph" w:styleId="TOC3">
    <w:name w:val="toc 3"/>
    <w:basedOn w:val="Normal"/>
    <w:next w:val="Normal"/>
    <w:autoRedefine/>
    <w:uiPriority w:val="39"/>
    <w:unhideWhenUsed/>
    <w:rsid w:val="00E156DD"/>
    <w:pPr>
      <w:tabs>
        <w:tab w:val="left" w:pos="1320"/>
        <w:tab w:val="right" w:leader="dot" w:pos="9350"/>
      </w:tabs>
      <w:spacing w:after="0" w:line="240" w:lineRule="auto"/>
      <w:ind w:left="720"/>
    </w:pPr>
  </w:style>
  <w:style w:type="paragraph" w:styleId="TOC4">
    <w:name w:val="toc 4"/>
    <w:basedOn w:val="Normal"/>
    <w:next w:val="Normal"/>
    <w:autoRedefine/>
    <w:uiPriority w:val="39"/>
    <w:unhideWhenUsed/>
    <w:rsid w:val="00105AE3"/>
    <w:pPr>
      <w:spacing w:after="100"/>
      <w:ind w:left="660"/>
    </w:pPr>
    <w:rPr>
      <w:rFonts w:eastAsiaTheme="minorEastAsia"/>
    </w:rPr>
  </w:style>
  <w:style w:type="paragraph" w:styleId="TOC5">
    <w:name w:val="toc 5"/>
    <w:basedOn w:val="Normal"/>
    <w:next w:val="Normal"/>
    <w:autoRedefine/>
    <w:uiPriority w:val="39"/>
    <w:unhideWhenUsed/>
    <w:rsid w:val="00105AE3"/>
    <w:pPr>
      <w:spacing w:after="100"/>
      <w:ind w:left="880"/>
    </w:pPr>
    <w:rPr>
      <w:rFonts w:eastAsiaTheme="minorEastAsia"/>
    </w:rPr>
  </w:style>
  <w:style w:type="paragraph" w:styleId="TOC6">
    <w:name w:val="toc 6"/>
    <w:basedOn w:val="Normal"/>
    <w:next w:val="Normal"/>
    <w:autoRedefine/>
    <w:uiPriority w:val="39"/>
    <w:unhideWhenUsed/>
    <w:rsid w:val="00105AE3"/>
    <w:pPr>
      <w:spacing w:after="100"/>
      <w:ind w:left="1100"/>
    </w:pPr>
    <w:rPr>
      <w:rFonts w:eastAsiaTheme="minorEastAsia"/>
    </w:rPr>
  </w:style>
  <w:style w:type="paragraph" w:styleId="TOC7">
    <w:name w:val="toc 7"/>
    <w:basedOn w:val="Normal"/>
    <w:next w:val="Normal"/>
    <w:autoRedefine/>
    <w:uiPriority w:val="39"/>
    <w:unhideWhenUsed/>
    <w:rsid w:val="00105AE3"/>
    <w:pPr>
      <w:spacing w:after="100"/>
      <w:ind w:left="1320"/>
    </w:pPr>
    <w:rPr>
      <w:rFonts w:eastAsiaTheme="minorEastAsia"/>
    </w:rPr>
  </w:style>
  <w:style w:type="paragraph" w:styleId="TOC8">
    <w:name w:val="toc 8"/>
    <w:basedOn w:val="Normal"/>
    <w:next w:val="Normal"/>
    <w:autoRedefine/>
    <w:uiPriority w:val="39"/>
    <w:unhideWhenUsed/>
    <w:rsid w:val="00105AE3"/>
    <w:pPr>
      <w:spacing w:after="100"/>
      <w:ind w:left="1540"/>
    </w:pPr>
    <w:rPr>
      <w:rFonts w:eastAsiaTheme="minorEastAsia"/>
    </w:rPr>
  </w:style>
  <w:style w:type="paragraph" w:styleId="TOC9">
    <w:name w:val="toc 9"/>
    <w:basedOn w:val="Normal"/>
    <w:next w:val="Normal"/>
    <w:autoRedefine/>
    <w:uiPriority w:val="39"/>
    <w:unhideWhenUsed/>
    <w:rsid w:val="00105AE3"/>
    <w:pPr>
      <w:spacing w:after="100"/>
      <w:ind w:left="1760"/>
    </w:pPr>
    <w:rPr>
      <w:rFonts w:eastAsiaTheme="minorEastAsia"/>
    </w:rPr>
  </w:style>
  <w:style w:type="paragraph" w:styleId="Revision">
    <w:name w:val="Revision"/>
    <w:hidden/>
    <w:uiPriority w:val="99"/>
    <w:semiHidden/>
    <w:rsid w:val="00DD4168"/>
  </w:style>
  <w:style w:type="paragraph" w:styleId="BodyText">
    <w:name w:val="Body Text"/>
    <w:basedOn w:val="Normal"/>
    <w:link w:val="BodyTextChar"/>
    <w:uiPriority w:val="1"/>
    <w:qFormat/>
    <w:rsid w:val="00DA393B"/>
    <w:pPr>
      <w:widowControl w:val="0"/>
      <w:autoSpaceDE w:val="0"/>
      <w:autoSpaceDN w:val="0"/>
    </w:pPr>
    <w:rPr>
      <w:rFonts w:ascii="Calibri" w:eastAsia="Calibri" w:hAnsi="Calibri" w:cs="Calibri"/>
      <w:lang w:bidi="en-US"/>
    </w:rPr>
  </w:style>
  <w:style w:type="character" w:customStyle="1" w:styleId="BodyTextChar">
    <w:name w:val="Body Text Char"/>
    <w:basedOn w:val="DefaultParagraphFont"/>
    <w:link w:val="BodyText"/>
    <w:uiPriority w:val="1"/>
    <w:rsid w:val="00DA393B"/>
    <w:rPr>
      <w:rFonts w:ascii="Calibri" w:eastAsia="Calibri" w:hAnsi="Calibri" w:cs="Calibri"/>
      <w:lang w:bidi="en-US"/>
    </w:rPr>
  </w:style>
  <w:style w:type="table" w:styleId="PlainTable4">
    <w:name w:val="Plain Table 4"/>
    <w:basedOn w:val="TableNormal"/>
    <w:uiPriority w:val="44"/>
    <w:rsid w:val="000460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046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75DD0"/>
    <w:rPr>
      <w:sz w:val="20"/>
      <w:szCs w:val="20"/>
    </w:rPr>
  </w:style>
  <w:style w:type="character" w:customStyle="1" w:styleId="FootnoteTextChar">
    <w:name w:val="Footnote Text Char"/>
    <w:basedOn w:val="DefaultParagraphFont"/>
    <w:link w:val="FootnoteText"/>
    <w:uiPriority w:val="99"/>
    <w:semiHidden/>
    <w:rsid w:val="00F75DD0"/>
    <w:rPr>
      <w:sz w:val="20"/>
      <w:szCs w:val="20"/>
    </w:rPr>
  </w:style>
  <w:style w:type="character" w:styleId="FootnoteReference">
    <w:name w:val="footnote reference"/>
    <w:basedOn w:val="DefaultParagraphFont"/>
    <w:uiPriority w:val="99"/>
    <w:semiHidden/>
    <w:unhideWhenUsed/>
    <w:rsid w:val="00F75DD0"/>
    <w:rPr>
      <w:vertAlign w:val="superscript"/>
    </w:rPr>
  </w:style>
  <w:style w:type="character" w:customStyle="1" w:styleId="ListParagraphChar">
    <w:name w:val="List Paragraph Char"/>
    <w:aliases w:val="Bullet List Char,Issue Action POC Char,List Paragraph1 Char,3 Char,POCG Table Text Char,Dot pt Char,F5 List Paragraph Char,List Paragraph Char Char Char Char,Indicator Text Char,Colorful List - Accent 11 Char,Numbered Para 1 Char"/>
    <w:basedOn w:val="DefaultParagraphFont"/>
    <w:link w:val="ListParagraph"/>
    <w:uiPriority w:val="34"/>
    <w:locked/>
    <w:rsid w:val="00EE71E8"/>
  </w:style>
  <w:style w:type="paragraph" w:customStyle="1" w:styleId="Default">
    <w:name w:val="Default"/>
    <w:rsid w:val="00DA393B"/>
    <w:pPr>
      <w:autoSpaceDE w:val="0"/>
      <w:autoSpaceDN w:val="0"/>
      <w:adjustRightInd w:val="0"/>
      <w:spacing w:after="120"/>
    </w:pPr>
    <w:rPr>
      <w:rFonts w:ascii="Calibri" w:hAnsi="Calibri" w:cs="Calibri"/>
      <w:color w:val="000000"/>
      <w:sz w:val="24"/>
      <w:szCs w:val="24"/>
    </w:rPr>
  </w:style>
  <w:style w:type="character" w:styleId="SubtleReference">
    <w:name w:val="Subtle Reference"/>
    <w:basedOn w:val="DefaultParagraphFont"/>
    <w:uiPriority w:val="31"/>
    <w:qFormat/>
    <w:rsid w:val="0035385F"/>
    <w:rPr>
      <w:smallCaps/>
      <w:color w:val="5A5A5A" w:themeColor="text1" w:themeTint="A5"/>
    </w:rPr>
  </w:style>
  <w:style w:type="paragraph" w:styleId="NormalWeb">
    <w:name w:val="Normal (Web)"/>
    <w:basedOn w:val="Normal"/>
    <w:uiPriority w:val="99"/>
    <w:semiHidden/>
    <w:unhideWhenUsed/>
    <w:rsid w:val="000C6473"/>
    <w:pPr>
      <w:spacing w:before="100" w:beforeAutospacing="1" w:after="100" w:afterAutospacing="1"/>
    </w:pPr>
    <w:rPr>
      <w:rFonts w:ascii="Times New Roman" w:eastAsia="Times New Roman" w:hAnsi="Times New Roman" w:cs="Times New Roman"/>
      <w:sz w:val="24"/>
      <w:szCs w:val="24"/>
    </w:rPr>
  </w:style>
  <w:style w:type="character" w:customStyle="1" w:styleId="ui-provider">
    <w:name w:val="ui-provider"/>
    <w:basedOn w:val="DefaultParagraphFont"/>
    <w:rsid w:val="009660B5"/>
  </w:style>
  <w:style w:type="table" w:customStyle="1" w:styleId="TableGrid2">
    <w:name w:val="Table Grid2"/>
    <w:basedOn w:val="TableNormal"/>
    <w:next w:val="TableGrid"/>
    <w:uiPriority w:val="39"/>
    <w:rsid w:val="00B952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46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A393B"/>
    <w:pPr>
      <w:spacing w:after="120"/>
    </w:pPr>
  </w:style>
  <w:style w:type="table" w:customStyle="1" w:styleId="TableGrid4">
    <w:name w:val="Table Grid4"/>
    <w:basedOn w:val="TableNormal"/>
    <w:next w:val="TableGrid"/>
    <w:uiPriority w:val="39"/>
    <w:rsid w:val="00477F16"/>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F8785C"/>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D136A5"/>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882FCA"/>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CC700E"/>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5633CB"/>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084AA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84AAF"/>
    <w:rPr>
      <w:sz w:val="20"/>
      <w:szCs w:val="20"/>
    </w:rPr>
  </w:style>
  <w:style w:type="character" w:styleId="EndnoteReference">
    <w:name w:val="endnote reference"/>
    <w:basedOn w:val="DefaultParagraphFont"/>
    <w:uiPriority w:val="99"/>
    <w:semiHidden/>
    <w:unhideWhenUsed/>
    <w:rsid w:val="00084AAF"/>
    <w:rPr>
      <w:vertAlign w:val="superscript"/>
    </w:rPr>
  </w:style>
  <w:style w:type="paragraph" w:customStyle="1" w:styleId="xmsonormal">
    <w:name w:val="x_msonormal"/>
    <w:basedOn w:val="Normal"/>
    <w:rsid w:val="00F9216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31935">
      <w:bodyDiv w:val="1"/>
      <w:marLeft w:val="0"/>
      <w:marRight w:val="0"/>
      <w:marTop w:val="0"/>
      <w:marBottom w:val="0"/>
      <w:divBdr>
        <w:top w:val="none" w:sz="0" w:space="0" w:color="auto"/>
        <w:left w:val="none" w:sz="0" w:space="0" w:color="auto"/>
        <w:bottom w:val="none" w:sz="0" w:space="0" w:color="auto"/>
        <w:right w:val="none" w:sz="0" w:space="0" w:color="auto"/>
      </w:divBdr>
    </w:div>
    <w:div w:id="45879790">
      <w:bodyDiv w:val="1"/>
      <w:marLeft w:val="0"/>
      <w:marRight w:val="0"/>
      <w:marTop w:val="0"/>
      <w:marBottom w:val="0"/>
      <w:divBdr>
        <w:top w:val="none" w:sz="0" w:space="0" w:color="auto"/>
        <w:left w:val="none" w:sz="0" w:space="0" w:color="auto"/>
        <w:bottom w:val="none" w:sz="0" w:space="0" w:color="auto"/>
        <w:right w:val="none" w:sz="0" w:space="0" w:color="auto"/>
      </w:divBdr>
    </w:div>
    <w:div w:id="448162717">
      <w:bodyDiv w:val="1"/>
      <w:marLeft w:val="0"/>
      <w:marRight w:val="0"/>
      <w:marTop w:val="0"/>
      <w:marBottom w:val="0"/>
      <w:divBdr>
        <w:top w:val="none" w:sz="0" w:space="0" w:color="auto"/>
        <w:left w:val="none" w:sz="0" w:space="0" w:color="auto"/>
        <w:bottom w:val="none" w:sz="0" w:space="0" w:color="auto"/>
        <w:right w:val="none" w:sz="0" w:space="0" w:color="auto"/>
      </w:divBdr>
    </w:div>
    <w:div w:id="497043148">
      <w:bodyDiv w:val="1"/>
      <w:marLeft w:val="0"/>
      <w:marRight w:val="0"/>
      <w:marTop w:val="0"/>
      <w:marBottom w:val="0"/>
      <w:divBdr>
        <w:top w:val="none" w:sz="0" w:space="0" w:color="auto"/>
        <w:left w:val="none" w:sz="0" w:space="0" w:color="auto"/>
        <w:bottom w:val="none" w:sz="0" w:space="0" w:color="auto"/>
        <w:right w:val="none" w:sz="0" w:space="0" w:color="auto"/>
      </w:divBdr>
    </w:div>
    <w:div w:id="571543638">
      <w:bodyDiv w:val="1"/>
      <w:marLeft w:val="0"/>
      <w:marRight w:val="0"/>
      <w:marTop w:val="0"/>
      <w:marBottom w:val="0"/>
      <w:divBdr>
        <w:top w:val="none" w:sz="0" w:space="0" w:color="auto"/>
        <w:left w:val="none" w:sz="0" w:space="0" w:color="auto"/>
        <w:bottom w:val="none" w:sz="0" w:space="0" w:color="auto"/>
        <w:right w:val="none" w:sz="0" w:space="0" w:color="auto"/>
      </w:divBdr>
    </w:div>
    <w:div w:id="572816027">
      <w:bodyDiv w:val="1"/>
      <w:marLeft w:val="0"/>
      <w:marRight w:val="0"/>
      <w:marTop w:val="0"/>
      <w:marBottom w:val="0"/>
      <w:divBdr>
        <w:top w:val="none" w:sz="0" w:space="0" w:color="auto"/>
        <w:left w:val="none" w:sz="0" w:space="0" w:color="auto"/>
        <w:bottom w:val="none" w:sz="0" w:space="0" w:color="auto"/>
        <w:right w:val="none" w:sz="0" w:space="0" w:color="auto"/>
      </w:divBdr>
      <w:divsChild>
        <w:div w:id="1909269931">
          <w:marLeft w:val="0"/>
          <w:marRight w:val="0"/>
          <w:marTop w:val="0"/>
          <w:marBottom w:val="0"/>
          <w:divBdr>
            <w:top w:val="none" w:sz="0" w:space="0" w:color="auto"/>
            <w:left w:val="none" w:sz="0" w:space="0" w:color="auto"/>
            <w:bottom w:val="none" w:sz="0" w:space="0" w:color="auto"/>
            <w:right w:val="none" w:sz="0" w:space="0" w:color="auto"/>
          </w:divBdr>
        </w:div>
      </w:divsChild>
    </w:div>
    <w:div w:id="615792672">
      <w:bodyDiv w:val="1"/>
      <w:marLeft w:val="0"/>
      <w:marRight w:val="0"/>
      <w:marTop w:val="0"/>
      <w:marBottom w:val="0"/>
      <w:divBdr>
        <w:top w:val="none" w:sz="0" w:space="0" w:color="auto"/>
        <w:left w:val="none" w:sz="0" w:space="0" w:color="auto"/>
        <w:bottom w:val="none" w:sz="0" w:space="0" w:color="auto"/>
        <w:right w:val="none" w:sz="0" w:space="0" w:color="auto"/>
      </w:divBdr>
      <w:divsChild>
        <w:div w:id="202326044">
          <w:marLeft w:val="0"/>
          <w:marRight w:val="0"/>
          <w:marTop w:val="0"/>
          <w:marBottom w:val="0"/>
          <w:divBdr>
            <w:top w:val="none" w:sz="0" w:space="0" w:color="auto"/>
            <w:left w:val="none" w:sz="0" w:space="0" w:color="auto"/>
            <w:bottom w:val="none" w:sz="0" w:space="0" w:color="auto"/>
            <w:right w:val="none" w:sz="0" w:space="0" w:color="auto"/>
          </w:divBdr>
          <w:divsChild>
            <w:div w:id="1758139197">
              <w:marLeft w:val="0"/>
              <w:marRight w:val="0"/>
              <w:marTop w:val="0"/>
              <w:marBottom w:val="0"/>
              <w:divBdr>
                <w:top w:val="none" w:sz="0" w:space="0" w:color="auto"/>
                <w:left w:val="none" w:sz="0" w:space="0" w:color="auto"/>
                <w:bottom w:val="none" w:sz="0" w:space="0" w:color="auto"/>
                <w:right w:val="none" w:sz="0" w:space="0" w:color="auto"/>
              </w:divBdr>
            </w:div>
          </w:divsChild>
        </w:div>
        <w:div w:id="1299410524">
          <w:marLeft w:val="0"/>
          <w:marRight w:val="0"/>
          <w:marTop w:val="0"/>
          <w:marBottom w:val="0"/>
          <w:divBdr>
            <w:top w:val="none" w:sz="0" w:space="0" w:color="auto"/>
            <w:left w:val="none" w:sz="0" w:space="0" w:color="auto"/>
            <w:bottom w:val="none" w:sz="0" w:space="0" w:color="auto"/>
            <w:right w:val="none" w:sz="0" w:space="0" w:color="auto"/>
          </w:divBdr>
          <w:divsChild>
            <w:div w:id="523717429">
              <w:marLeft w:val="0"/>
              <w:marRight w:val="0"/>
              <w:marTop w:val="0"/>
              <w:marBottom w:val="0"/>
              <w:divBdr>
                <w:top w:val="none" w:sz="0" w:space="0" w:color="auto"/>
                <w:left w:val="none" w:sz="0" w:space="0" w:color="auto"/>
                <w:bottom w:val="none" w:sz="0" w:space="0" w:color="auto"/>
                <w:right w:val="none" w:sz="0" w:space="0" w:color="auto"/>
              </w:divBdr>
            </w:div>
          </w:divsChild>
        </w:div>
        <w:div w:id="1365255425">
          <w:marLeft w:val="0"/>
          <w:marRight w:val="0"/>
          <w:marTop w:val="0"/>
          <w:marBottom w:val="0"/>
          <w:divBdr>
            <w:top w:val="none" w:sz="0" w:space="0" w:color="auto"/>
            <w:left w:val="none" w:sz="0" w:space="0" w:color="auto"/>
            <w:bottom w:val="none" w:sz="0" w:space="0" w:color="auto"/>
            <w:right w:val="none" w:sz="0" w:space="0" w:color="auto"/>
          </w:divBdr>
          <w:divsChild>
            <w:div w:id="1464928625">
              <w:marLeft w:val="0"/>
              <w:marRight w:val="0"/>
              <w:marTop w:val="0"/>
              <w:marBottom w:val="0"/>
              <w:divBdr>
                <w:top w:val="none" w:sz="0" w:space="0" w:color="auto"/>
                <w:left w:val="none" w:sz="0" w:space="0" w:color="auto"/>
                <w:bottom w:val="none" w:sz="0" w:space="0" w:color="auto"/>
                <w:right w:val="none" w:sz="0" w:space="0" w:color="auto"/>
              </w:divBdr>
            </w:div>
          </w:divsChild>
        </w:div>
        <w:div w:id="1638803388">
          <w:marLeft w:val="0"/>
          <w:marRight w:val="0"/>
          <w:marTop w:val="0"/>
          <w:marBottom w:val="0"/>
          <w:divBdr>
            <w:top w:val="none" w:sz="0" w:space="0" w:color="auto"/>
            <w:left w:val="none" w:sz="0" w:space="0" w:color="auto"/>
            <w:bottom w:val="none" w:sz="0" w:space="0" w:color="auto"/>
            <w:right w:val="none" w:sz="0" w:space="0" w:color="auto"/>
          </w:divBdr>
          <w:divsChild>
            <w:div w:id="4279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576332">
      <w:bodyDiv w:val="1"/>
      <w:marLeft w:val="0"/>
      <w:marRight w:val="0"/>
      <w:marTop w:val="0"/>
      <w:marBottom w:val="0"/>
      <w:divBdr>
        <w:top w:val="none" w:sz="0" w:space="0" w:color="auto"/>
        <w:left w:val="none" w:sz="0" w:space="0" w:color="auto"/>
        <w:bottom w:val="none" w:sz="0" w:space="0" w:color="auto"/>
        <w:right w:val="none" w:sz="0" w:space="0" w:color="auto"/>
      </w:divBdr>
    </w:div>
    <w:div w:id="661008943">
      <w:bodyDiv w:val="1"/>
      <w:marLeft w:val="0"/>
      <w:marRight w:val="0"/>
      <w:marTop w:val="0"/>
      <w:marBottom w:val="0"/>
      <w:divBdr>
        <w:top w:val="none" w:sz="0" w:space="0" w:color="auto"/>
        <w:left w:val="none" w:sz="0" w:space="0" w:color="auto"/>
        <w:bottom w:val="none" w:sz="0" w:space="0" w:color="auto"/>
        <w:right w:val="none" w:sz="0" w:space="0" w:color="auto"/>
      </w:divBdr>
      <w:divsChild>
        <w:div w:id="247662533">
          <w:marLeft w:val="274"/>
          <w:marRight w:val="0"/>
          <w:marTop w:val="0"/>
          <w:marBottom w:val="0"/>
          <w:divBdr>
            <w:top w:val="none" w:sz="0" w:space="0" w:color="auto"/>
            <w:left w:val="none" w:sz="0" w:space="0" w:color="auto"/>
            <w:bottom w:val="none" w:sz="0" w:space="0" w:color="auto"/>
            <w:right w:val="none" w:sz="0" w:space="0" w:color="auto"/>
          </w:divBdr>
        </w:div>
        <w:div w:id="1047147847">
          <w:marLeft w:val="274"/>
          <w:marRight w:val="0"/>
          <w:marTop w:val="0"/>
          <w:marBottom w:val="0"/>
          <w:divBdr>
            <w:top w:val="none" w:sz="0" w:space="0" w:color="auto"/>
            <w:left w:val="none" w:sz="0" w:space="0" w:color="auto"/>
            <w:bottom w:val="none" w:sz="0" w:space="0" w:color="auto"/>
            <w:right w:val="none" w:sz="0" w:space="0" w:color="auto"/>
          </w:divBdr>
        </w:div>
      </w:divsChild>
    </w:div>
    <w:div w:id="747045377">
      <w:bodyDiv w:val="1"/>
      <w:marLeft w:val="0"/>
      <w:marRight w:val="0"/>
      <w:marTop w:val="0"/>
      <w:marBottom w:val="0"/>
      <w:divBdr>
        <w:top w:val="none" w:sz="0" w:space="0" w:color="auto"/>
        <w:left w:val="none" w:sz="0" w:space="0" w:color="auto"/>
        <w:bottom w:val="none" w:sz="0" w:space="0" w:color="auto"/>
        <w:right w:val="none" w:sz="0" w:space="0" w:color="auto"/>
      </w:divBdr>
    </w:div>
    <w:div w:id="774058078">
      <w:bodyDiv w:val="1"/>
      <w:marLeft w:val="0"/>
      <w:marRight w:val="0"/>
      <w:marTop w:val="0"/>
      <w:marBottom w:val="0"/>
      <w:divBdr>
        <w:top w:val="none" w:sz="0" w:space="0" w:color="auto"/>
        <w:left w:val="none" w:sz="0" w:space="0" w:color="auto"/>
        <w:bottom w:val="none" w:sz="0" w:space="0" w:color="auto"/>
        <w:right w:val="none" w:sz="0" w:space="0" w:color="auto"/>
      </w:divBdr>
    </w:div>
    <w:div w:id="775321692">
      <w:bodyDiv w:val="1"/>
      <w:marLeft w:val="0"/>
      <w:marRight w:val="0"/>
      <w:marTop w:val="0"/>
      <w:marBottom w:val="0"/>
      <w:divBdr>
        <w:top w:val="none" w:sz="0" w:space="0" w:color="auto"/>
        <w:left w:val="none" w:sz="0" w:space="0" w:color="auto"/>
        <w:bottom w:val="none" w:sz="0" w:space="0" w:color="auto"/>
        <w:right w:val="none" w:sz="0" w:space="0" w:color="auto"/>
      </w:divBdr>
      <w:divsChild>
        <w:div w:id="663119870">
          <w:marLeft w:val="274"/>
          <w:marRight w:val="0"/>
          <w:marTop w:val="0"/>
          <w:marBottom w:val="0"/>
          <w:divBdr>
            <w:top w:val="none" w:sz="0" w:space="0" w:color="auto"/>
            <w:left w:val="none" w:sz="0" w:space="0" w:color="auto"/>
            <w:bottom w:val="none" w:sz="0" w:space="0" w:color="auto"/>
            <w:right w:val="none" w:sz="0" w:space="0" w:color="auto"/>
          </w:divBdr>
        </w:div>
        <w:div w:id="1277712038">
          <w:marLeft w:val="274"/>
          <w:marRight w:val="0"/>
          <w:marTop w:val="0"/>
          <w:marBottom w:val="0"/>
          <w:divBdr>
            <w:top w:val="none" w:sz="0" w:space="0" w:color="auto"/>
            <w:left w:val="none" w:sz="0" w:space="0" w:color="auto"/>
            <w:bottom w:val="none" w:sz="0" w:space="0" w:color="auto"/>
            <w:right w:val="none" w:sz="0" w:space="0" w:color="auto"/>
          </w:divBdr>
        </w:div>
        <w:div w:id="1963877530">
          <w:marLeft w:val="274"/>
          <w:marRight w:val="0"/>
          <w:marTop w:val="0"/>
          <w:marBottom w:val="0"/>
          <w:divBdr>
            <w:top w:val="none" w:sz="0" w:space="0" w:color="auto"/>
            <w:left w:val="none" w:sz="0" w:space="0" w:color="auto"/>
            <w:bottom w:val="none" w:sz="0" w:space="0" w:color="auto"/>
            <w:right w:val="none" w:sz="0" w:space="0" w:color="auto"/>
          </w:divBdr>
        </w:div>
      </w:divsChild>
    </w:div>
    <w:div w:id="787553526">
      <w:bodyDiv w:val="1"/>
      <w:marLeft w:val="0"/>
      <w:marRight w:val="0"/>
      <w:marTop w:val="0"/>
      <w:marBottom w:val="0"/>
      <w:divBdr>
        <w:top w:val="none" w:sz="0" w:space="0" w:color="auto"/>
        <w:left w:val="none" w:sz="0" w:space="0" w:color="auto"/>
        <w:bottom w:val="none" w:sz="0" w:space="0" w:color="auto"/>
        <w:right w:val="none" w:sz="0" w:space="0" w:color="auto"/>
      </w:divBdr>
    </w:div>
    <w:div w:id="808478050">
      <w:bodyDiv w:val="1"/>
      <w:marLeft w:val="0"/>
      <w:marRight w:val="0"/>
      <w:marTop w:val="0"/>
      <w:marBottom w:val="0"/>
      <w:divBdr>
        <w:top w:val="none" w:sz="0" w:space="0" w:color="auto"/>
        <w:left w:val="none" w:sz="0" w:space="0" w:color="auto"/>
        <w:bottom w:val="none" w:sz="0" w:space="0" w:color="auto"/>
        <w:right w:val="none" w:sz="0" w:space="0" w:color="auto"/>
      </w:divBdr>
    </w:div>
    <w:div w:id="827743340">
      <w:bodyDiv w:val="1"/>
      <w:marLeft w:val="0"/>
      <w:marRight w:val="0"/>
      <w:marTop w:val="0"/>
      <w:marBottom w:val="0"/>
      <w:divBdr>
        <w:top w:val="none" w:sz="0" w:space="0" w:color="auto"/>
        <w:left w:val="none" w:sz="0" w:space="0" w:color="auto"/>
        <w:bottom w:val="none" w:sz="0" w:space="0" w:color="auto"/>
        <w:right w:val="none" w:sz="0" w:space="0" w:color="auto"/>
      </w:divBdr>
    </w:div>
    <w:div w:id="840511951">
      <w:bodyDiv w:val="1"/>
      <w:marLeft w:val="0"/>
      <w:marRight w:val="0"/>
      <w:marTop w:val="0"/>
      <w:marBottom w:val="0"/>
      <w:divBdr>
        <w:top w:val="none" w:sz="0" w:space="0" w:color="auto"/>
        <w:left w:val="none" w:sz="0" w:space="0" w:color="auto"/>
        <w:bottom w:val="none" w:sz="0" w:space="0" w:color="auto"/>
        <w:right w:val="none" w:sz="0" w:space="0" w:color="auto"/>
      </w:divBdr>
    </w:div>
    <w:div w:id="846671636">
      <w:bodyDiv w:val="1"/>
      <w:marLeft w:val="0"/>
      <w:marRight w:val="0"/>
      <w:marTop w:val="0"/>
      <w:marBottom w:val="0"/>
      <w:divBdr>
        <w:top w:val="none" w:sz="0" w:space="0" w:color="auto"/>
        <w:left w:val="none" w:sz="0" w:space="0" w:color="auto"/>
        <w:bottom w:val="none" w:sz="0" w:space="0" w:color="auto"/>
        <w:right w:val="none" w:sz="0" w:space="0" w:color="auto"/>
      </w:divBdr>
      <w:divsChild>
        <w:div w:id="64110478">
          <w:marLeft w:val="360"/>
          <w:marRight w:val="0"/>
          <w:marTop w:val="0"/>
          <w:marBottom w:val="0"/>
          <w:divBdr>
            <w:top w:val="none" w:sz="0" w:space="0" w:color="auto"/>
            <w:left w:val="none" w:sz="0" w:space="0" w:color="auto"/>
            <w:bottom w:val="none" w:sz="0" w:space="0" w:color="auto"/>
            <w:right w:val="none" w:sz="0" w:space="0" w:color="auto"/>
          </w:divBdr>
        </w:div>
      </w:divsChild>
    </w:div>
    <w:div w:id="868838920">
      <w:bodyDiv w:val="1"/>
      <w:marLeft w:val="0"/>
      <w:marRight w:val="0"/>
      <w:marTop w:val="0"/>
      <w:marBottom w:val="0"/>
      <w:divBdr>
        <w:top w:val="none" w:sz="0" w:space="0" w:color="auto"/>
        <w:left w:val="none" w:sz="0" w:space="0" w:color="auto"/>
        <w:bottom w:val="none" w:sz="0" w:space="0" w:color="auto"/>
        <w:right w:val="none" w:sz="0" w:space="0" w:color="auto"/>
      </w:divBdr>
      <w:divsChild>
        <w:div w:id="177425042">
          <w:marLeft w:val="907"/>
          <w:marRight w:val="0"/>
          <w:marTop w:val="100"/>
          <w:marBottom w:val="0"/>
          <w:divBdr>
            <w:top w:val="none" w:sz="0" w:space="0" w:color="auto"/>
            <w:left w:val="none" w:sz="0" w:space="0" w:color="auto"/>
            <w:bottom w:val="none" w:sz="0" w:space="0" w:color="auto"/>
            <w:right w:val="none" w:sz="0" w:space="0" w:color="auto"/>
          </w:divBdr>
        </w:div>
        <w:div w:id="344287102">
          <w:marLeft w:val="907"/>
          <w:marRight w:val="0"/>
          <w:marTop w:val="100"/>
          <w:marBottom w:val="0"/>
          <w:divBdr>
            <w:top w:val="none" w:sz="0" w:space="0" w:color="auto"/>
            <w:left w:val="none" w:sz="0" w:space="0" w:color="auto"/>
            <w:bottom w:val="none" w:sz="0" w:space="0" w:color="auto"/>
            <w:right w:val="none" w:sz="0" w:space="0" w:color="auto"/>
          </w:divBdr>
        </w:div>
        <w:div w:id="724527483">
          <w:marLeft w:val="1166"/>
          <w:marRight w:val="0"/>
          <w:marTop w:val="100"/>
          <w:marBottom w:val="0"/>
          <w:divBdr>
            <w:top w:val="none" w:sz="0" w:space="0" w:color="auto"/>
            <w:left w:val="none" w:sz="0" w:space="0" w:color="auto"/>
            <w:bottom w:val="none" w:sz="0" w:space="0" w:color="auto"/>
            <w:right w:val="none" w:sz="0" w:space="0" w:color="auto"/>
          </w:divBdr>
        </w:div>
        <w:div w:id="1617175021">
          <w:marLeft w:val="907"/>
          <w:marRight w:val="0"/>
          <w:marTop w:val="100"/>
          <w:marBottom w:val="0"/>
          <w:divBdr>
            <w:top w:val="none" w:sz="0" w:space="0" w:color="auto"/>
            <w:left w:val="none" w:sz="0" w:space="0" w:color="auto"/>
            <w:bottom w:val="none" w:sz="0" w:space="0" w:color="auto"/>
            <w:right w:val="none" w:sz="0" w:space="0" w:color="auto"/>
          </w:divBdr>
        </w:div>
      </w:divsChild>
    </w:div>
    <w:div w:id="958678713">
      <w:bodyDiv w:val="1"/>
      <w:marLeft w:val="0"/>
      <w:marRight w:val="0"/>
      <w:marTop w:val="0"/>
      <w:marBottom w:val="0"/>
      <w:divBdr>
        <w:top w:val="none" w:sz="0" w:space="0" w:color="auto"/>
        <w:left w:val="none" w:sz="0" w:space="0" w:color="auto"/>
        <w:bottom w:val="none" w:sz="0" w:space="0" w:color="auto"/>
        <w:right w:val="none" w:sz="0" w:space="0" w:color="auto"/>
      </w:divBdr>
    </w:div>
    <w:div w:id="1000619645">
      <w:bodyDiv w:val="1"/>
      <w:marLeft w:val="0"/>
      <w:marRight w:val="0"/>
      <w:marTop w:val="0"/>
      <w:marBottom w:val="0"/>
      <w:divBdr>
        <w:top w:val="none" w:sz="0" w:space="0" w:color="auto"/>
        <w:left w:val="none" w:sz="0" w:space="0" w:color="auto"/>
        <w:bottom w:val="none" w:sz="0" w:space="0" w:color="auto"/>
        <w:right w:val="none" w:sz="0" w:space="0" w:color="auto"/>
      </w:divBdr>
    </w:div>
    <w:div w:id="1068696709">
      <w:bodyDiv w:val="1"/>
      <w:marLeft w:val="0"/>
      <w:marRight w:val="0"/>
      <w:marTop w:val="0"/>
      <w:marBottom w:val="0"/>
      <w:divBdr>
        <w:top w:val="none" w:sz="0" w:space="0" w:color="auto"/>
        <w:left w:val="none" w:sz="0" w:space="0" w:color="auto"/>
        <w:bottom w:val="none" w:sz="0" w:space="0" w:color="auto"/>
        <w:right w:val="none" w:sz="0" w:space="0" w:color="auto"/>
      </w:divBdr>
      <w:divsChild>
        <w:div w:id="146283861">
          <w:marLeft w:val="274"/>
          <w:marRight w:val="0"/>
          <w:marTop w:val="0"/>
          <w:marBottom w:val="0"/>
          <w:divBdr>
            <w:top w:val="none" w:sz="0" w:space="0" w:color="auto"/>
            <w:left w:val="none" w:sz="0" w:space="0" w:color="auto"/>
            <w:bottom w:val="none" w:sz="0" w:space="0" w:color="auto"/>
            <w:right w:val="none" w:sz="0" w:space="0" w:color="auto"/>
          </w:divBdr>
        </w:div>
        <w:div w:id="319232148">
          <w:marLeft w:val="274"/>
          <w:marRight w:val="0"/>
          <w:marTop w:val="0"/>
          <w:marBottom w:val="0"/>
          <w:divBdr>
            <w:top w:val="none" w:sz="0" w:space="0" w:color="auto"/>
            <w:left w:val="none" w:sz="0" w:space="0" w:color="auto"/>
            <w:bottom w:val="none" w:sz="0" w:space="0" w:color="auto"/>
            <w:right w:val="none" w:sz="0" w:space="0" w:color="auto"/>
          </w:divBdr>
        </w:div>
        <w:div w:id="1094782392">
          <w:marLeft w:val="274"/>
          <w:marRight w:val="0"/>
          <w:marTop w:val="0"/>
          <w:marBottom w:val="0"/>
          <w:divBdr>
            <w:top w:val="none" w:sz="0" w:space="0" w:color="auto"/>
            <w:left w:val="none" w:sz="0" w:space="0" w:color="auto"/>
            <w:bottom w:val="none" w:sz="0" w:space="0" w:color="auto"/>
            <w:right w:val="none" w:sz="0" w:space="0" w:color="auto"/>
          </w:divBdr>
        </w:div>
        <w:div w:id="1227952410">
          <w:marLeft w:val="274"/>
          <w:marRight w:val="0"/>
          <w:marTop w:val="0"/>
          <w:marBottom w:val="0"/>
          <w:divBdr>
            <w:top w:val="none" w:sz="0" w:space="0" w:color="auto"/>
            <w:left w:val="none" w:sz="0" w:space="0" w:color="auto"/>
            <w:bottom w:val="none" w:sz="0" w:space="0" w:color="auto"/>
            <w:right w:val="none" w:sz="0" w:space="0" w:color="auto"/>
          </w:divBdr>
        </w:div>
        <w:div w:id="1471433673">
          <w:marLeft w:val="274"/>
          <w:marRight w:val="0"/>
          <w:marTop w:val="0"/>
          <w:marBottom w:val="0"/>
          <w:divBdr>
            <w:top w:val="none" w:sz="0" w:space="0" w:color="auto"/>
            <w:left w:val="none" w:sz="0" w:space="0" w:color="auto"/>
            <w:bottom w:val="none" w:sz="0" w:space="0" w:color="auto"/>
            <w:right w:val="none" w:sz="0" w:space="0" w:color="auto"/>
          </w:divBdr>
        </w:div>
        <w:div w:id="1893030903">
          <w:marLeft w:val="274"/>
          <w:marRight w:val="0"/>
          <w:marTop w:val="0"/>
          <w:marBottom w:val="0"/>
          <w:divBdr>
            <w:top w:val="none" w:sz="0" w:space="0" w:color="auto"/>
            <w:left w:val="none" w:sz="0" w:space="0" w:color="auto"/>
            <w:bottom w:val="none" w:sz="0" w:space="0" w:color="auto"/>
            <w:right w:val="none" w:sz="0" w:space="0" w:color="auto"/>
          </w:divBdr>
        </w:div>
      </w:divsChild>
    </w:div>
    <w:div w:id="1100488182">
      <w:bodyDiv w:val="1"/>
      <w:marLeft w:val="0"/>
      <w:marRight w:val="0"/>
      <w:marTop w:val="0"/>
      <w:marBottom w:val="0"/>
      <w:divBdr>
        <w:top w:val="none" w:sz="0" w:space="0" w:color="auto"/>
        <w:left w:val="none" w:sz="0" w:space="0" w:color="auto"/>
        <w:bottom w:val="none" w:sz="0" w:space="0" w:color="auto"/>
        <w:right w:val="none" w:sz="0" w:space="0" w:color="auto"/>
      </w:divBdr>
    </w:div>
    <w:div w:id="1144666686">
      <w:bodyDiv w:val="1"/>
      <w:marLeft w:val="0"/>
      <w:marRight w:val="0"/>
      <w:marTop w:val="0"/>
      <w:marBottom w:val="0"/>
      <w:divBdr>
        <w:top w:val="none" w:sz="0" w:space="0" w:color="auto"/>
        <w:left w:val="none" w:sz="0" w:space="0" w:color="auto"/>
        <w:bottom w:val="none" w:sz="0" w:space="0" w:color="auto"/>
        <w:right w:val="none" w:sz="0" w:space="0" w:color="auto"/>
      </w:divBdr>
      <w:divsChild>
        <w:div w:id="1471290761">
          <w:marLeft w:val="274"/>
          <w:marRight w:val="0"/>
          <w:marTop w:val="0"/>
          <w:marBottom w:val="0"/>
          <w:divBdr>
            <w:top w:val="none" w:sz="0" w:space="0" w:color="auto"/>
            <w:left w:val="none" w:sz="0" w:space="0" w:color="auto"/>
            <w:bottom w:val="none" w:sz="0" w:space="0" w:color="auto"/>
            <w:right w:val="none" w:sz="0" w:space="0" w:color="auto"/>
          </w:divBdr>
        </w:div>
        <w:div w:id="1850605623">
          <w:marLeft w:val="274"/>
          <w:marRight w:val="0"/>
          <w:marTop w:val="0"/>
          <w:marBottom w:val="0"/>
          <w:divBdr>
            <w:top w:val="none" w:sz="0" w:space="0" w:color="auto"/>
            <w:left w:val="none" w:sz="0" w:space="0" w:color="auto"/>
            <w:bottom w:val="none" w:sz="0" w:space="0" w:color="auto"/>
            <w:right w:val="none" w:sz="0" w:space="0" w:color="auto"/>
          </w:divBdr>
        </w:div>
      </w:divsChild>
    </w:div>
    <w:div w:id="1308128289">
      <w:bodyDiv w:val="1"/>
      <w:marLeft w:val="0"/>
      <w:marRight w:val="0"/>
      <w:marTop w:val="0"/>
      <w:marBottom w:val="0"/>
      <w:divBdr>
        <w:top w:val="none" w:sz="0" w:space="0" w:color="auto"/>
        <w:left w:val="none" w:sz="0" w:space="0" w:color="auto"/>
        <w:bottom w:val="none" w:sz="0" w:space="0" w:color="auto"/>
        <w:right w:val="none" w:sz="0" w:space="0" w:color="auto"/>
      </w:divBdr>
      <w:divsChild>
        <w:div w:id="259336280">
          <w:marLeft w:val="274"/>
          <w:marRight w:val="0"/>
          <w:marTop w:val="0"/>
          <w:marBottom w:val="0"/>
          <w:divBdr>
            <w:top w:val="none" w:sz="0" w:space="0" w:color="auto"/>
            <w:left w:val="none" w:sz="0" w:space="0" w:color="auto"/>
            <w:bottom w:val="none" w:sz="0" w:space="0" w:color="auto"/>
            <w:right w:val="none" w:sz="0" w:space="0" w:color="auto"/>
          </w:divBdr>
        </w:div>
        <w:div w:id="293483183">
          <w:marLeft w:val="274"/>
          <w:marRight w:val="0"/>
          <w:marTop w:val="0"/>
          <w:marBottom w:val="0"/>
          <w:divBdr>
            <w:top w:val="none" w:sz="0" w:space="0" w:color="auto"/>
            <w:left w:val="none" w:sz="0" w:space="0" w:color="auto"/>
            <w:bottom w:val="none" w:sz="0" w:space="0" w:color="auto"/>
            <w:right w:val="none" w:sz="0" w:space="0" w:color="auto"/>
          </w:divBdr>
        </w:div>
      </w:divsChild>
    </w:div>
    <w:div w:id="1404375193">
      <w:bodyDiv w:val="1"/>
      <w:marLeft w:val="0"/>
      <w:marRight w:val="0"/>
      <w:marTop w:val="0"/>
      <w:marBottom w:val="0"/>
      <w:divBdr>
        <w:top w:val="none" w:sz="0" w:space="0" w:color="auto"/>
        <w:left w:val="none" w:sz="0" w:space="0" w:color="auto"/>
        <w:bottom w:val="none" w:sz="0" w:space="0" w:color="auto"/>
        <w:right w:val="none" w:sz="0" w:space="0" w:color="auto"/>
      </w:divBdr>
    </w:div>
    <w:div w:id="1408728559">
      <w:bodyDiv w:val="1"/>
      <w:marLeft w:val="0"/>
      <w:marRight w:val="0"/>
      <w:marTop w:val="0"/>
      <w:marBottom w:val="0"/>
      <w:divBdr>
        <w:top w:val="none" w:sz="0" w:space="0" w:color="auto"/>
        <w:left w:val="none" w:sz="0" w:space="0" w:color="auto"/>
        <w:bottom w:val="none" w:sz="0" w:space="0" w:color="auto"/>
        <w:right w:val="none" w:sz="0" w:space="0" w:color="auto"/>
      </w:divBdr>
      <w:divsChild>
        <w:div w:id="311522951">
          <w:marLeft w:val="0"/>
          <w:marRight w:val="0"/>
          <w:marTop w:val="0"/>
          <w:marBottom w:val="0"/>
          <w:divBdr>
            <w:top w:val="none" w:sz="0" w:space="0" w:color="auto"/>
            <w:left w:val="none" w:sz="0" w:space="0" w:color="auto"/>
            <w:bottom w:val="none" w:sz="0" w:space="0" w:color="auto"/>
            <w:right w:val="none" w:sz="0" w:space="0" w:color="auto"/>
          </w:divBdr>
        </w:div>
        <w:div w:id="331110189">
          <w:marLeft w:val="0"/>
          <w:marRight w:val="0"/>
          <w:marTop w:val="0"/>
          <w:marBottom w:val="0"/>
          <w:divBdr>
            <w:top w:val="none" w:sz="0" w:space="0" w:color="auto"/>
            <w:left w:val="none" w:sz="0" w:space="0" w:color="auto"/>
            <w:bottom w:val="none" w:sz="0" w:space="0" w:color="auto"/>
            <w:right w:val="none" w:sz="0" w:space="0" w:color="auto"/>
          </w:divBdr>
        </w:div>
        <w:div w:id="545410283">
          <w:marLeft w:val="0"/>
          <w:marRight w:val="0"/>
          <w:marTop w:val="0"/>
          <w:marBottom w:val="0"/>
          <w:divBdr>
            <w:top w:val="none" w:sz="0" w:space="0" w:color="auto"/>
            <w:left w:val="none" w:sz="0" w:space="0" w:color="auto"/>
            <w:bottom w:val="none" w:sz="0" w:space="0" w:color="auto"/>
            <w:right w:val="none" w:sz="0" w:space="0" w:color="auto"/>
          </w:divBdr>
        </w:div>
        <w:div w:id="701050976">
          <w:marLeft w:val="0"/>
          <w:marRight w:val="0"/>
          <w:marTop w:val="0"/>
          <w:marBottom w:val="0"/>
          <w:divBdr>
            <w:top w:val="none" w:sz="0" w:space="0" w:color="auto"/>
            <w:left w:val="none" w:sz="0" w:space="0" w:color="auto"/>
            <w:bottom w:val="none" w:sz="0" w:space="0" w:color="auto"/>
            <w:right w:val="none" w:sz="0" w:space="0" w:color="auto"/>
          </w:divBdr>
        </w:div>
        <w:div w:id="768354225">
          <w:marLeft w:val="0"/>
          <w:marRight w:val="0"/>
          <w:marTop w:val="0"/>
          <w:marBottom w:val="0"/>
          <w:divBdr>
            <w:top w:val="none" w:sz="0" w:space="0" w:color="auto"/>
            <w:left w:val="none" w:sz="0" w:space="0" w:color="auto"/>
            <w:bottom w:val="none" w:sz="0" w:space="0" w:color="auto"/>
            <w:right w:val="none" w:sz="0" w:space="0" w:color="auto"/>
          </w:divBdr>
        </w:div>
        <w:div w:id="1235703378">
          <w:marLeft w:val="0"/>
          <w:marRight w:val="0"/>
          <w:marTop w:val="0"/>
          <w:marBottom w:val="0"/>
          <w:divBdr>
            <w:top w:val="none" w:sz="0" w:space="0" w:color="auto"/>
            <w:left w:val="none" w:sz="0" w:space="0" w:color="auto"/>
            <w:bottom w:val="none" w:sz="0" w:space="0" w:color="auto"/>
            <w:right w:val="none" w:sz="0" w:space="0" w:color="auto"/>
          </w:divBdr>
        </w:div>
        <w:div w:id="1330257260">
          <w:marLeft w:val="0"/>
          <w:marRight w:val="0"/>
          <w:marTop w:val="0"/>
          <w:marBottom w:val="0"/>
          <w:divBdr>
            <w:top w:val="none" w:sz="0" w:space="0" w:color="auto"/>
            <w:left w:val="none" w:sz="0" w:space="0" w:color="auto"/>
            <w:bottom w:val="none" w:sz="0" w:space="0" w:color="auto"/>
            <w:right w:val="none" w:sz="0" w:space="0" w:color="auto"/>
          </w:divBdr>
        </w:div>
        <w:div w:id="1405227373">
          <w:marLeft w:val="0"/>
          <w:marRight w:val="0"/>
          <w:marTop w:val="0"/>
          <w:marBottom w:val="0"/>
          <w:divBdr>
            <w:top w:val="none" w:sz="0" w:space="0" w:color="auto"/>
            <w:left w:val="none" w:sz="0" w:space="0" w:color="auto"/>
            <w:bottom w:val="none" w:sz="0" w:space="0" w:color="auto"/>
            <w:right w:val="none" w:sz="0" w:space="0" w:color="auto"/>
          </w:divBdr>
        </w:div>
        <w:div w:id="1412697914">
          <w:marLeft w:val="0"/>
          <w:marRight w:val="0"/>
          <w:marTop w:val="0"/>
          <w:marBottom w:val="0"/>
          <w:divBdr>
            <w:top w:val="none" w:sz="0" w:space="0" w:color="auto"/>
            <w:left w:val="none" w:sz="0" w:space="0" w:color="auto"/>
            <w:bottom w:val="none" w:sz="0" w:space="0" w:color="auto"/>
            <w:right w:val="none" w:sz="0" w:space="0" w:color="auto"/>
          </w:divBdr>
        </w:div>
        <w:div w:id="1516113032">
          <w:marLeft w:val="0"/>
          <w:marRight w:val="0"/>
          <w:marTop w:val="0"/>
          <w:marBottom w:val="0"/>
          <w:divBdr>
            <w:top w:val="none" w:sz="0" w:space="0" w:color="auto"/>
            <w:left w:val="none" w:sz="0" w:space="0" w:color="auto"/>
            <w:bottom w:val="none" w:sz="0" w:space="0" w:color="auto"/>
            <w:right w:val="none" w:sz="0" w:space="0" w:color="auto"/>
          </w:divBdr>
        </w:div>
        <w:div w:id="1659072122">
          <w:marLeft w:val="0"/>
          <w:marRight w:val="0"/>
          <w:marTop w:val="0"/>
          <w:marBottom w:val="0"/>
          <w:divBdr>
            <w:top w:val="none" w:sz="0" w:space="0" w:color="auto"/>
            <w:left w:val="none" w:sz="0" w:space="0" w:color="auto"/>
            <w:bottom w:val="none" w:sz="0" w:space="0" w:color="auto"/>
            <w:right w:val="none" w:sz="0" w:space="0" w:color="auto"/>
          </w:divBdr>
        </w:div>
        <w:div w:id="1765614607">
          <w:marLeft w:val="0"/>
          <w:marRight w:val="0"/>
          <w:marTop w:val="0"/>
          <w:marBottom w:val="0"/>
          <w:divBdr>
            <w:top w:val="none" w:sz="0" w:space="0" w:color="auto"/>
            <w:left w:val="none" w:sz="0" w:space="0" w:color="auto"/>
            <w:bottom w:val="none" w:sz="0" w:space="0" w:color="auto"/>
            <w:right w:val="none" w:sz="0" w:space="0" w:color="auto"/>
          </w:divBdr>
        </w:div>
        <w:div w:id="1858034905">
          <w:marLeft w:val="0"/>
          <w:marRight w:val="0"/>
          <w:marTop w:val="0"/>
          <w:marBottom w:val="0"/>
          <w:divBdr>
            <w:top w:val="none" w:sz="0" w:space="0" w:color="auto"/>
            <w:left w:val="none" w:sz="0" w:space="0" w:color="auto"/>
            <w:bottom w:val="none" w:sz="0" w:space="0" w:color="auto"/>
            <w:right w:val="none" w:sz="0" w:space="0" w:color="auto"/>
          </w:divBdr>
        </w:div>
        <w:div w:id="1889875393">
          <w:marLeft w:val="0"/>
          <w:marRight w:val="0"/>
          <w:marTop w:val="0"/>
          <w:marBottom w:val="0"/>
          <w:divBdr>
            <w:top w:val="none" w:sz="0" w:space="0" w:color="auto"/>
            <w:left w:val="none" w:sz="0" w:space="0" w:color="auto"/>
            <w:bottom w:val="none" w:sz="0" w:space="0" w:color="auto"/>
            <w:right w:val="none" w:sz="0" w:space="0" w:color="auto"/>
          </w:divBdr>
        </w:div>
        <w:div w:id="1921478021">
          <w:marLeft w:val="0"/>
          <w:marRight w:val="0"/>
          <w:marTop w:val="0"/>
          <w:marBottom w:val="0"/>
          <w:divBdr>
            <w:top w:val="none" w:sz="0" w:space="0" w:color="auto"/>
            <w:left w:val="none" w:sz="0" w:space="0" w:color="auto"/>
            <w:bottom w:val="none" w:sz="0" w:space="0" w:color="auto"/>
            <w:right w:val="none" w:sz="0" w:space="0" w:color="auto"/>
          </w:divBdr>
        </w:div>
        <w:div w:id="2052683927">
          <w:marLeft w:val="0"/>
          <w:marRight w:val="0"/>
          <w:marTop w:val="0"/>
          <w:marBottom w:val="0"/>
          <w:divBdr>
            <w:top w:val="none" w:sz="0" w:space="0" w:color="auto"/>
            <w:left w:val="none" w:sz="0" w:space="0" w:color="auto"/>
            <w:bottom w:val="none" w:sz="0" w:space="0" w:color="auto"/>
            <w:right w:val="none" w:sz="0" w:space="0" w:color="auto"/>
          </w:divBdr>
        </w:div>
      </w:divsChild>
    </w:div>
    <w:div w:id="1462531006">
      <w:bodyDiv w:val="1"/>
      <w:marLeft w:val="0"/>
      <w:marRight w:val="0"/>
      <w:marTop w:val="0"/>
      <w:marBottom w:val="0"/>
      <w:divBdr>
        <w:top w:val="none" w:sz="0" w:space="0" w:color="auto"/>
        <w:left w:val="none" w:sz="0" w:space="0" w:color="auto"/>
        <w:bottom w:val="none" w:sz="0" w:space="0" w:color="auto"/>
        <w:right w:val="none" w:sz="0" w:space="0" w:color="auto"/>
      </w:divBdr>
    </w:div>
    <w:div w:id="1503663718">
      <w:bodyDiv w:val="1"/>
      <w:marLeft w:val="0"/>
      <w:marRight w:val="0"/>
      <w:marTop w:val="0"/>
      <w:marBottom w:val="0"/>
      <w:divBdr>
        <w:top w:val="none" w:sz="0" w:space="0" w:color="auto"/>
        <w:left w:val="none" w:sz="0" w:space="0" w:color="auto"/>
        <w:bottom w:val="none" w:sz="0" w:space="0" w:color="auto"/>
        <w:right w:val="none" w:sz="0" w:space="0" w:color="auto"/>
      </w:divBdr>
      <w:divsChild>
        <w:div w:id="33701367">
          <w:marLeft w:val="0"/>
          <w:marRight w:val="0"/>
          <w:marTop w:val="0"/>
          <w:marBottom w:val="0"/>
          <w:divBdr>
            <w:top w:val="none" w:sz="0" w:space="0" w:color="auto"/>
            <w:left w:val="none" w:sz="0" w:space="0" w:color="auto"/>
            <w:bottom w:val="none" w:sz="0" w:space="0" w:color="auto"/>
            <w:right w:val="none" w:sz="0" w:space="0" w:color="auto"/>
          </w:divBdr>
          <w:divsChild>
            <w:div w:id="124585493">
              <w:marLeft w:val="0"/>
              <w:marRight w:val="0"/>
              <w:marTop w:val="0"/>
              <w:marBottom w:val="0"/>
              <w:divBdr>
                <w:top w:val="none" w:sz="0" w:space="0" w:color="auto"/>
                <w:left w:val="none" w:sz="0" w:space="0" w:color="auto"/>
                <w:bottom w:val="none" w:sz="0" w:space="0" w:color="auto"/>
                <w:right w:val="none" w:sz="0" w:space="0" w:color="auto"/>
              </w:divBdr>
              <w:divsChild>
                <w:div w:id="232394099">
                  <w:marLeft w:val="0"/>
                  <w:marRight w:val="0"/>
                  <w:marTop w:val="0"/>
                  <w:marBottom w:val="0"/>
                  <w:divBdr>
                    <w:top w:val="none" w:sz="0" w:space="0" w:color="auto"/>
                    <w:left w:val="none" w:sz="0" w:space="0" w:color="auto"/>
                    <w:bottom w:val="none" w:sz="0" w:space="0" w:color="auto"/>
                    <w:right w:val="none" w:sz="0" w:space="0" w:color="auto"/>
                  </w:divBdr>
                </w:div>
              </w:divsChild>
            </w:div>
            <w:div w:id="134758738">
              <w:marLeft w:val="0"/>
              <w:marRight w:val="0"/>
              <w:marTop w:val="0"/>
              <w:marBottom w:val="0"/>
              <w:divBdr>
                <w:top w:val="none" w:sz="0" w:space="0" w:color="auto"/>
                <w:left w:val="none" w:sz="0" w:space="0" w:color="auto"/>
                <w:bottom w:val="none" w:sz="0" w:space="0" w:color="auto"/>
                <w:right w:val="none" w:sz="0" w:space="0" w:color="auto"/>
              </w:divBdr>
              <w:divsChild>
                <w:div w:id="501356713">
                  <w:marLeft w:val="0"/>
                  <w:marRight w:val="0"/>
                  <w:marTop w:val="0"/>
                  <w:marBottom w:val="0"/>
                  <w:divBdr>
                    <w:top w:val="none" w:sz="0" w:space="0" w:color="auto"/>
                    <w:left w:val="none" w:sz="0" w:space="0" w:color="auto"/>
                    <w:bottom w:val="none" w:sz="0" w:space="0" w:color="auto"/>
                    <w:right w:val="none" w:sz="0" w:space="0" w:color="auto"/>
                  </w:divBdr>
                </w:div>
              </w:divsChild>
            </w:div>
            <w:div w:id="161509461">
              <w:marLeft w:val="0"/>
              <w:marRight w:val="0"/>
              <w:marTop w:val="0"/>
              <w:marBottom w:val="0"/>
              <w:divBdr>
                <w:top w:val="none" w:sz="0" w:space="0" w:color="auto"/>
                <w:left w:val="none" w:sz="0" w:space="0" w:color="auto"/>
                <w:bottom w:val="none" w:sz="0" w:space="0" w:color="auto"/>
                <w:right w:val="none" w:sz="0" w:space="0" w:color="auto"/>
              </w:divBdr>
              <w:divsChild>
                <w:div w:id="1145046834">
                  <w:marLeft w:val="0"/>
                  <w:marRight w:val="0"/>
                  <w:marTop w:val="0"/>
                  <w:marBottom w:val="0"/>
                  <w:divBdr>
                    <w:top w:val="none" w:sz="0" w:space="0" w:color="auto"/>
                    <w:left w:val="none" w:sz="0" w:space="0" w:color="auto"/>
                    <w:bottom w:val="none" w:sz="0" w:space="0" w:color="auto"/>
                    <w:right w:val="none" w:sz="0" w:space="0" w:color="auto"/>
                  </w:divBdr>
                </w:div>
              </w:divsChild>
            </w:div>
            <w:div w:id="191235678">
              <w:marLeft w:val="0"/>
              <w:marRight w:val="0"/>
              <w:marTop w:val="0"/>
              <w:marBottom w:val="0"/>
              <w:divBdr>
                <w:top w:val="none" w:sz="0" w:space="0" w:color="auto"/>
                <w:left w:val="none" w:sz="0" w:space="0" w:color="auto"/>
                <w:bottom w:val="none" w:sz="0" w:space="0" w:color="auto"/>
                <w:right w:val="none" w:sz="0" w:space="0" w:color="auto"/>
              </w:divBdr>
              <w:divsChild>
                <w:div w:id="329405780">
                  <w:marLeft w:val="0"/>
                  <w:marRight w:val="0"/>
                  <w:marTop w:val="0"/>
                  <w:marBottom w:val="0"/>
                  <w:divBdr>
                    <w:top w:val="none" w:sz="0" w:space="0" w:color="auto"/>
                    <w:left w:val="none" w:sz="0" w:space="0" w:color="auto"/>
                    <w:bottom w:val="none" w:sz="0" w:space="0" w:color="auto"/>
                    <w:right w:val="none" w:sz="0" w:space="0" w:color="auto"/>
                  </w:divBdr>
                </w:div>
              </w:divsChild>
            </w:div>
            <w:div w:id="219638848">
              <w:marLeft w:val="0"/>
              <w:marRight w:val="0"/>
              <w:marTop w:val="0"/>
              <w:marBottom w:val="0"/>
              <w:divBdr>
                <w:top w:val="none" w:sz="0" w:space="0" w:color="auto"/>
                <w:left w:val="none" w:sz="0" w:space="0" w:color="auto"/>
                <w:bottom w:val="none" w:sz="0" w:space="0" w:color="auto"/>
                <w:right w:val="none" w:sz="0" w:space="0" w:color="auto"/>
              </w:divBdr>
              <w:divsChild>
                <w:div w:id="1108701245">
                  <w:marLeft w:val="0"/>
                  <w:marRight w:val="0"/>
                  <w:marTop w:val="0"/>
                  <w:marBottom w:val="0"/>
                  <w:divBdr>
                    <w:top w:val="none" w:sz="0" w:space="0" w:color="auto"/>
                    <w:left w:val="none" w:sz="0" w:space="0" w:color="auto"/>
                    <w:bottom w:val="none" w:sz="0" w:space="0" w:color="auto"/>
                    <w:right w:val="none" w:sz="0" w:space="0" w:color="auto"/>
                  </w:divBdr>
                </w:div>
              </w:divsChild>
            </w:div>
            <w:div w:id="219677144">
              <w:marLeft w:val="0"/>
              <w:marRight w:val="0"/>
              <w:marTop w:val="0"/>
              <w:marBottom w:val="0"/>
              <w:divBdr>
                <w:top w:val="none" w:sz="0" w:space="0" w:color="auto"/>
                <w:left w:val="none" w:sz="0" w:space="0" w:color="auto"/>
                <w:bottom w:val="none" w:sz="0" w:space="0" w:color="auto"/>
                <w:right w:val="none" w:sz="0" w:space="0" w:color="auto"/>
              </w:divBdr>
              <w:divsChild>
                <w:div w:id="1508598965">
                  <w:marLeft w:val="0"/>
                  <w:marRight w:val="0"/>
                  <w:marTop w:val="0"/>
                  <w:marBottom w:val="0"/>
                  <w:divBdr>
                    <w:top w:val="none" w:sz="0" w:space="0" w:color="auto"/>
                    <w:left w:val="none" w:sz="0" w:space="0" w:color="auto"/>
                    <w:bottom w:val="none" w:sz="0" w:space="0" w:color="auto"/>
                    <w:right w:val="none" w:sz="0" w:space="0" w:color="auto"/>
                  </w:divBdr>
                </w:div>
              </w:divsChild>
            </w:div>
            <w:div w:id="278222252">
              <w:marLeft w:val="0"/>
              <w:marRight w:val="0"/>
              <w:marTop w:val="0"/>
              <w:marBottom w:val="0"/>
              <w:divBdr>
                <w:top w:val="none" w:sz="0" w:space="0" w:color="auto"/>
                <w:left w:val="none" w:sz="0" w:space="0" w:color="auto"/>
                <w:bottom w:val="none" w:sz="0" w:space="0" w:color="auto"/>
                <w:right w:val="none" w:sz="0" w:space="0" w:color="auto"/>
              </w:divBdr>
              <w:divsChild>
                <w:div w:id="273292300">
                  <w:marLeft w:val="0"/>
                  <w:marRight w:val="0"/>
                  <w:marTop w:val="0"/>
                  <w:marBottom w:val="0"/>
                  <w:divBdr>
                    <w:top w:val="none" w:sz="0" w:space="0" w:color="auto"/>
                    <w:left w:val="none" w:sz="0" w:space="0" w:color="auto"/>
                    <w:bottom w:val="none" w:sz="0" w:space="0" w:color="auto"/>
                    <w:right w:val="none" w:sz="0" w:space="0" w:color="auto"/>
                  </w:divBdr>
                </w:div>
              </w:divsChild>
            </w:div>
            <w:div w:id="299111903">
              <w:marLeft w:val="0"/>
              <w:marRight w:val="0"/>
              <w:marTop w:val="0"/>
              <w:marBottom w:val="0"/>
              <w:divBdr>
                <w:top w:val="none" w:sz="0" w:space="0" w:color="auto"/>
                <w:left w:val="none" w:sz="0" w:space="0" w:color="auto"/>
                <w:bottom w:val="none" w:sz="0" w:space="0" w:color="auto"/>
                <w:right w:val="none" w:sz="0" w:space="0" w:color="auto"/>
              </w:divBdr>
              <w:divsChild>
                <w:div w:id="1796100676">
                  <w:marLeft w:val="0"/>
                  <w:marRight w:val="0"/>
                  <w:marTop w:val="0"/>
                  <w:marBottom w:val="0"/>
                  <w:divBdr>
                    <w:top w:val="none" w:sz="0" w:space="0" w:color="auto"/>
                    <w:left w:val="none" w:sz="0" w:space="0" w:color="auto"/>
                    <w:bottom w:val="none" w:sz="0" w:space="0" w:color="auto"/>
                    <w:right w:val="none" w:sz="0" w:space="0" w:color="auto"/>
                  </w:divBdr>
                </w:div>
              </w:divsChild>
            </w:div>
            <w:div w:id="304356635">
              <w:marLeft w:val="0"/>
              <w:marRight w:val="0"/>
              <w:marTop w:val="0"/>
              <w:marBottom w:val="0"/>
              <w:divBdr>
                <w:top w:val="none" w:sz="0" w:space="0" w:color="auto"/>
                <w:left w:val="none" w:sz="0" w:space="0" w:color="auto"/>
                <w:bottom w:val="none" w:sz="0" w:space="0" w:color="auto"/>
                <w:right w:val="none" w:sz="0" w:space="0" w:color="auto"/>
              </w:divBdr>
              <w:divsChild>
                <w:div w:id="98533125">
                  <w:marLeft w:val="0"/>
                  <w:marRight w:val="0"/>
                  <w:marTop w:val="0"/>
                  <w:marBottom w:val="0"/>
                  <w:divBdr>
                    <w:top w:val="none" w:sz="0" w:space="0" w:color="auto"/>
                    <w:left w:val="none" w:sz="0" w:space="0" w:color="auto"/>
                    <w:bottom w:val="none" w:sz="0" w:space="0" w:color="auto"/>
                    <w:right w:val="none" w:sz="0" w:space="0" w:color="auto"/>
                  </w:divBdr>
                </w:div>
              </w:divsChild>
            </w:div>
            <w:div w:id="305933581">
              <w:marLeft w:val="0"/>
              <w:marRight w:val="0"/>
              <w:marTop w:val="0"/>
              <w:marBottom w:val="0"/>
              <w:divBdr>
                <w:top w:val="none" w:sz="0" w:space="0" w:color="auto"/>
                <w:left w:val="none" w:sz="0" w:space="0" w:color="auto"/>
                <w:bottom w:val="none" w:sz="0" w:space="0" w:color="auto"/>
                <w:right w:val="none" w:sz="0" w:space="0" w:color="auto"/>
              </w:divBdr>
              <w:divsChild>
                <w:div w:id="1738550649">
                  <w:marLeft w:val="0"/>
                  <w:marRight w:val="0"/>
                  <w:marTop w:val="0"/>
                  <w:marBottom w:val="0"/>
                  <w:divBdr>
                    <w:top w:val="none" w:sz="0" w:space="0" w:color="auto"/>
                    <w:left w:val="none" w:sz="0" w:space="0" w:color="auto"/>
                    <w:bottom w:val="none" w:sz="0" w:space="0" w:color="auto"/>
                    <w:right w:val="none" w:sz="0" w:space="0" w:color="auto"/>
                  </w:divBdr>
                </w:div>
              </w:divsChild>
            </w:div>
            <w:div w:id="318005571">
              <w:marLeft w:val="0"/>
              <w:marRight w:val="0"/>
              <w:marTop w:val="0"/>
              <w:marBottom w:val="0"/>
              <w:divBdr>
                <w:top w:val="none" w:sz="0" w:space="0" w:color="auto"/>
                <w:left w:val="none" w:sz="0" w:space="0" w:color="auto"/>
                <w:bottom w:val="none" w:sz="0" w:space="0" w:color="auto"/>
                <w:right w:val="none" w:sz="0" w:space="0" w:color="auto"/>
              </w:divBdr>
              <w:divsChild>
                <w:div w:id="1421953633">
                  <w:marLeft w:val="0"/>
                  <w:marRight w:val="0"/>
                  <w:marTop w:val="0"/>
                  <w:marBottom w:val="0"/>
                  <w:divBdr>
                    <w:top w:val="none" w:sz="0" w:space="0" w:color="auto"/>
                    <w:left w:val="none" w:sz="0" w:space="0" w:color="auto"/>
                    <w:bottom w:val="none" w:sz="0" w:space="0" w:color="auto"/>
                    <w:right w:val="none" w:sz="0" w:space="0" w:color="auto"/>
                  </w:divBdr>
                </w:div>
              </w:divsChild>
            </w:div>
            <w:div w:id="440538500">
              <w:marLeft w:val="0"/>
              <w:marRight w:val="0"/>
              <w:marTop w:val="0"/>
              <w:marBottom w:val="0"/>
              <w:divBdr>
                <w:top w:val="none" w:sz="0" w:space="0" w:color="auto"/>
                <w:left w:val="none" w:sz="0" w:space="0" w:color="auto"/>
                <w:bottom w:val="none" w:sz="0" w:space="0" w:color="auto"/>
                <w:right w:val="none" w:sz="0" w:space="0" w:color="auto"/>
              </w:divBdr>
              <w:divsChild>
                <w:div w:id="267780400">
                  <w:marLeft w:val="0"/>
                  <w:marRight w:val="0"/>
                  <w:marTop w:val="0"/>
                  <w:marBottom w:val="0"/>
                  <w:divBdr>
                    <w:top w:val="none" w:sz="0" w:space="0" w:color="auto"/>
                    <w:left w:val="none" w:sz="0" w:space="0" w:color="auto"/>
                    <w:bottom w:val="none" w:sz="0" w:space="0" w:color="auto"/>
                    <w:right w:val="none" w:sz="0" w:space="0" w:color="auto"/>
                  </w:divBdr>
                </w:div>
              </w:divsChild>
            </w:div>
            <w:div w:id="513418784">
              <w:marLeft w:val="0"/>
              <w:marRight w:val="0"/>
              <w:marTop w:val="0"/>
              <w:marBottom w:val="0"/>
              <w:divBdr>
                <w:top w:val="none" w:sz="0" w:space="0" w:color="auto"/>
                <w:left w:val="none" w:sz="0" w:space="0" w:color="auto"/>
                <w:bottom w:val="none" w:sz="0" w:space="0" w:color="auto"/>
                <w:right w:val="none" w:sz="0" w:space="0" w:color="auto"/>
              </w:divBdr>
              <w:divsChild>
                <w:div w:id="1389571529">
                  <w:marLeft w:val="0"/>
                  <w:marRight w:val="0"/>
                  <w:marTop w:val="0"/>
                  <w:marBottom w:val="0"/>
                  <w:divBdr>
                    <w:top w:val="none" w:sz="0" w:space="0" w:color="auto"/>
                    <w:left w:val="none" w:sz="0" w:space="0" w:color="auto"/>
                    <w:bottom w:val="none" w:sz="0" w:space="0" w:color="auto"/>
                    <w:right w:val="none" w:sz="0" w:space="0" w:color="auto"/>
                  </w:divBdr>
                </w:div>
              </w:divsChild>
            </w:div>
            <w:div w:id="528102588">
              <w:marLeft w:val="0"/>
              <w:marRight w:val="0"/>
              <w:marTop w:val="0"/>
              <w:marBottom w:val="0"/>
              <w:divBdr>
                <w:top w:val="none" w:sz="0" w:space="0" w:color="auto"/>
                <w:left w:val="none" w:sz="0" w:space="0" w:color="auto"/>
                <w:bottom w:val="none" w:sz="0" w:space="0" w:color="auto"/>
                <w:right w:val="none" w:sz="0" w:space="0" w:color="auto"/>
              </w:divBdr>
              <w:divsChild>
                <w:div w:id="540362007">
                  <w:marLeft w:val="0"/>
                  <w:marRight w:val="0"/>
                  <w:marTop w:val="0"/>
                  <w:marBottom w:val="0"/>
                  <w:divBdr>
                    <w:top w:val="none" w:sz="0" w:space="0" w:color="auto"/>
                    <w:left w:val="none" w:sz="0" w:space="0" w:color="auto"/>
                    <w:bottom w:val="none" w:sz="0" w:space="0" w:color="auto"/>
                    <w:right w:val="none" w:sz="0" w:space="0" w:color="auto"/>
                  </w:divBdr>
                </w:div>
              </w:divsChild>
            </w:div>
            <w:div w:id="564529976">
              <w:marLeft w:val="0"/>
              <w:marRight w:val="0"/>
              <w:marTop w:val="0"/>
              <w:marBottom w:val="0"/>
              <w:divBdr>
                <w:top w:val="none" w:sz="0" w:space="0" w:color="auto"/>
                <w:left w:val="none" w:sz="0" w:space="0" w:color="auto"/>
                <w:bottom w:val="none" w:sz="0" w:space="0" w:color="auto"/>
                <w:right w:val="none" w:sz="0" w:space="0" w:color="auto"/>
              </w:divBdr>
              <w:divsChild>
                <w:div w:id="629558785">
                  <w:marLeft w:val="0"/>
                  <w:marRight w:val="0"/>
                  <w:marTop w:val="0"/>
                  <w:marBottom w:val="0"/>
                  <w:divBdr>
                    <w:top w:val="none" w:sz="0" w:space="0" w:color="auto"/>
                    <w:left w:val="none" w:sz="0" w:space="0" w:color="auto"/>
                    <w:bottom w:val="none" w:sz="0" w:space="0" w:color="auto"/>
                    <w:right w:val="none" w:sz="0" w:space="0" w:color="auto"/>
                  </w:divBdr>
                </w:div>
              </w:divsChild>
            </w:div>
            <w:div w:id="566306665">
              <w:marLeft w:val="0"/>
              <w:marRight w:val="0"/>
              <w:marTop w:val="0"/>
              <w:marBottom w:val="0"/>
              <w:divBdr>
                <w:top w:val="none" w:sz="0" w:space="0" w:color="auto"/>
                <w:left w:val="none" w:sz="0" w:space="0" w:color="auto"/>
                <w:bottom w:val="none" w:sz="0" w:space="0" w:color="auto"/>
                <w:right w:val="none" w:sz="0" w:space="0" w:color="auto"/>
              </w:divBdr>
              <w:divsChild>
                <w:div w:id="1460686187">
                  <w:marLeft w:val="0"/>
                  <w:marRight w:val="0"/>
                  <w:marTop w:val="0"/>
                  <w:marBottom w:val="0"/>
                  <w:divBdr>
                    <w:top w:val="none" w:sz="0" w:space="0" w:color="auto"/>
                    <w:left w:val="none" w:sz="0" w:space="0" w:color="auto"/>
                    <w:bottom w:val="none" w:sz="0" w:space="0" w:color="auto"/>
                    <w:right w:val="none" w:sz="0" w:space="0" w:color="auto"/>
                  </w:divBdr>
                </w:div>
              </w:divsChild>
            </w:div>
            <w:div w:id="581842961">
              <w:marLeft w:val="0"/>
              <w:marRight w:val="0"/>
              <w:marTop w:val="0"/>
              <w:marBottom w:val="0"/>
              <w:divBdr>
                <w:top w:val="none" w:sz="0" w:space="0" w:color="auto"/>
                <w:left w:val="none" w:sz="0" w:space="0" w:color="auto"/>
                <w:bottom w:val="none" w:sz="0" w:space="0" w:color="auto"/>
                <w:right w:val="none" w:sz="0" w:space="0" w:color="auto"/>
              </w:divBdr>
              <w:divsChild>
                <w:div w:id="1699966024">
                  <w:marLeft w:val="0"/>
                  <w:marRight w:val="0"/>
                  <w:marTop w:val="0"/>
                  <w:marBottom w:val="0"/>
                  <w:divBdr>
                    <w:top w:val="none" w:sz="0" w:space="0" w:color="auto"/>
                    <w:left w:val="none" w:sz="0" w:space="0" w:color="auto"/>
                    <w:bottom w:val="none" w:sz="0" w:space="0" w:color="auto"/>
                    <w:right w:val="none" w:sz="0" w:space="0" w:color="auto"/>
                  </w:divBdr>
                </w:div>
              </w:divsChild>
            </w:div>
            <w:div w:id="681127300">
              <w:marLeft w:val="0"/>
              <w:marRight w:val="0"/>
              <w:marTop w:val="0"/>
              <w:marBottom w:val="0"/>
              <w:divBdr>
                <w:top w:val="none" w:sz="0" w:space="0" w:color="auto"/>
                <w:left w:val="none" w:sz="0" w:space="0" w:color="auto"/>
                <w:bottom w:val="none" w:sz="0" w:space="0" w:color="auto"/>
                <w:right w:val="none" w:sz="0" w:space="0" w:color="auto"/>
              </w:divBdr>
              <w:divsChild>
                <w:div w:id="162284083">
                  <w:marLeft w:val="0"/>
                  <w:marRight w:val="0"/>
                  <w:marTop w:val="0"/>
                  <w:marBottom w:val="0"/>
                  <w:divBdr>
                    <w:top w:val="none" w:sz="0" w:space="0" w:color="auto"/>
                    <w:left w:val="none" w:sz="0" w:space="0" w:color="auto"/>
                    <w:bottom w:val="none" w:sz="0" w:space="0" w:color="auto"/>
                    <w:right w:val="none" w:sz="0" w:space="0" w:color="auto"/>
                  </w:divBdr>
                </w:div>
              </w:divsChild>
            </w:div>
            <w:div w:id="681664911">
              <w:marLeft w:val="0"/>
              <w:marRight w:val="0"/>
              <w:marTop w:val="0"/>
              <w:marBottom w:val="0"/>
              <w:divBdr>
                <w:top w:val="none" w:sz="0" w:space="0" w:color="auto"/>
                <w:left w:val="none" w:sz="0" w:space="0" w:color="auto"/>
                <w:bottom w:val="none" w:sz="0" w:space="0" w:color="auto"/>
                <w:right w:val="none" w:sz="0" w:space="0" w:color="auto"/>
              </w:divBdr>
              <w:divsChild>
                <w:div w:id="1813674324">
                  <w:marLeft w:val="0"/>
                  <w:marRight w:val="0"/>
                  <w:marTop w:val="0"/>
                  <w:marBottom w:val="0"/>
                  <w:divBdr>
                    <w:top w:val="none" w:sz="0" w:space="0" w:color="auto"/>
                    <w:left w:val="none" w:sz="0" w:space="0" w:color="auto"/>
                    <w:bottom w:val="none" w:sz="0" w:space="0" w:color="auto"/>
                    <w:right w:val="none" w:sz="0" w:space="0" w:color="auto"/>
                  </w:divBdr>
                </w:div>
              </w:divsChild>
            </w:div>
            <w:div w:id="688875922">
              <w:marLeft w:val="0"/>
              <w:marRight w:val="0"/>
              <w:marTop w:val="0"/>
              <w:marBottom w:val="0"/>
              <w:divBdr>
                <w:top w:val="none" w:sz="0" w:space="0" w:color="auto"/>
                <w:left w:val="none" w:sz="0" w:space="0" w:color="auto"/>
                <w:bottom w:val="none" w:sz="0" w:space="0" w:color="auto"/>
                <w:right w:val="none" w:sz="0" w:space="0" w:color="auto"/>
              </w:divBdr>
              <w:divsChild>
                <w:div w:id="862476602">
                  <w:marLeft w:val="0"/>
                  <w:marRight w:val="0"/>
                  <w:marTop w:val="0"/>
                  <w:marBottom w:val="0"/>
                  <w:divBdr>
                    <w:top w:val="none" w:sz="0" w:space="0" w:color="auto"/>
                    <w:left w:val="none" w:sz="0" w:space="0" w:color="auto"/>
                    <w:bottom w:val="none" w:sz="0" w:space="0" w:color="auto"/>
                    <w:right w:val="none" w:sz="0" w:space="0" w:color="auto"/>
                  </w:divBdr>
                </w:div>
              </w:divsChild>
            </w:div>
            <w:div w:id="696003934">
              <w:marLeft w:val="0"/>
              <w:marRight w:val="0"/>
              <w:marTop w:val="0"/>
              <w:marBottom w:val="0"/>
              <w:divBdr>
                <w:top w:val="none" w:sz="0" w:space="0" w:color="auto"/>
                <w:left w:val="none" w:sz="0" w:space="0" w:color="auto"/>
                <w:bottom w:val="none" w:sz="0" w:space="0" w:color="auto"/>
                <w:right w:val="none" w:sz="0" w:space="0" w:color="auto"/>
              </w:divBdr>
              <w:divsChild>
                <w:div w:id="1076048013">
                  <w:marLeft w:val="0"/>
                  <w:marRight w:val="0"/>
                  <w:marTop w:val="0"/>
                  <w:marBottom w:val="0"/>
                  <w:divBdr>
                    <w:top w:val="none" w:sz="0" w:space="0" w:color="auto"/>
                    <w:left w:val="none" w:sz="0" w:space="0" w:color="auto"/>
                    <w:bottom w:val="none" w:sz="0" w:space="0" w:color="auto"/>
                    <w:right w:val="none" w:sz="0" w:space="0" w:color="auto"/>
                  </w:divBdr>
                </w:div>
              </w:divsChild>
            </w:div>
            <w:div w:id="878666534">
              <w:marLeft w:val="0"/>
              <w:marRight w:val="0"/>
              <w:marTop w:val="0"/>
              <w:marBottom w:val="0"/>
              <w:divBdr>
                <w:top w:val="none" w:sz="0" w:space="0" w:color="auto"/>
                <w:left w:val="none" w:sz="0" w:space="0" w:color="auto"/>
                <w:bottom w:val="none" w:sz="0" w:space="0" w:color="auto"/>
                <w:right w:val="none" w:sz="0" w:space="0" w:color="auto"/>
              </w:divBdr>
              <w:divsChild>
                <w:div w:id="200092439">
                  <w:marLeft w:val="0"/>
                  <w:marRight w:val="0"/>
                  <w:marTop w:val="0"/>
                  <w:marBottom w:val="0"/>
                  <w:divBdr>
                    <w:top w:val="none" w:sz="0" w:space="0" w:color="auto"/>
                    <w:left w:val="none" w:sz="0" w:space="0" w:color="auto"/>
                    <w:bottom w:val="none" w:sz="0" w:space="0" w:color="auto"/>
                    <w:right w:val="none" w:sz="0" w:space="0" w:color="auto"/>
                  </w:divBdr>
                </w:div>
              </w:divsChild>
            </w:div>
            <w:div w:id="955911286">
              <w:marLeft w:val="0"/>
              <w:marRight w:val="0"/>
              <w:marTop w:val="0"/>
              <w:marBottom w:val="0"/>
              <w:divBdr>
                <w:top w:val="none" w:sz="0" w:space="0" w:color="auto"/>
                <w:left w:val="none" w:sz="0" w:space="0" w:color="auto"/>
                <w:bottom w:val="none" w:sz="0" w:space="0" w:color="auto"/>
                <w:right w:val="none" w:sz="0" w:space="0" w:color="auto"/>
              </w:divBdr>
              <w:divsChild>
                <w:div w:id="1419641317">
                  <w:marLeft w:val="0"/>
                  <w:marRight w:val="0"/>
                  <w:marTop w:val="0"/>
                  <w:marBottom w:val="0"/>
                  <w:divBdr>
                    <w:top w:val="none" w:sz="0" w:space="0" w:color="auto"/>
                    <w:left w:val="none" w:sz="0" w:space="0" w:color="auto"/>
                    <w:bottom w:val="none" w:sz="0" w:space="0" w:color="auto"/>
                    <w:right w:val="none" w:sz="0" w:space="0" w:color="auto"/>
                  </w:divBdr>
                </w:div>
              </w:divsChild>
            </w:div>
            <w:div w:id="961036019">
              <w:marLeft w:val="0"/>
              <w:marRight w:val="0"/>
              <w:marTop w:val="0"/>
              <w:marBottom w:val="0"/>
              <w:divBdr>
                <w:top w:val="none" w:sz="0" w:space="0" w:color="auto"/>
                <w:left w:val="none" w:sz="0" w:space="0" w:color="auto"/>
                <w:bottom w:val="none" w:sz="0" w:space="0" w:color="auto"/>
                <w:right w:val="none" w:sz="0" w:space="0" w:color="auto"/>
              </w:divBdr>
              <w:divsChild>
                <w:div w:id="392848386">
                  <w:marLeft w:val="0"/>
                  <w:marRight w:val="0"/>
                  <w:marTop w:val="0"/>
                  <w:marBottom w:val="0"/>
                  <w:divBdr>
                    <w:top w:val="none" w:sz="0" w:space="0" w:color="auto"/>
                    <w:left w:val="none" w:sz="0" w:space="0" w:color="auto"/>
                    <w:bottom w:val="none" w:sz="0" w:space="0" w:color="auto"/>
                    <w:right w:val="none" w:sz="0" w:space="0" w:color="auto"/>
                  </w:divBdr>
                </w:div>
              </w:divsChild>
            </w:div>
            <w:div w:id="1032265128">
              <w:marLeft w:val="0"/>
              <w:marRight w:val="0"/>
              <w:marTop w:val="0"/>
              <w:marBottom w:val="0"/>
              <w:divBdr>
                <w:top w:val="none" w:sz="0" w:space="0" w:color="auto"/>
                <w:left w:val="none" w:sz="0" w:space="0" w:color="auto"/>
                <w:bottom w:val="none" w:sz="0" w:space="0" w:color="auto"/>
                <w:right w:val="none" w:sz="0" w:space="0" w:color="auto"/>
              </w:divBdr>
              <w:divsChild>
                <w:div w:id="258417361">
                  <w:marLeft w:val="0"/>
                  <w:marRight w:val="0"/>
                  <w:marTop w:val="0"/>
                  <w:marBottom w:val="0"/>
                  <w:divBdr>
                    <w:top w:val="none" w:sz="0" w:space="0" w:color="auto"/>
                    <w:left w:val="none" w:sz="0" w:space="0" w:color="auto"/>
                    <w:bottom w:val="none" w:sz="0" w:space="0" w:color="auto"/>
                    <w:right w:val="none" w:sz="0" w:space="0" w:color="auto"/>
                  </w:divBdr>
                </w:div>
              </w:divsChild>
            </w:div>
            <w:div w:id="1236088166">
              <w:marLeft w:val="0"/>
              <w:marRight w:val="0"/>
              <w:marTop w:val="0"/>
              <w:marBottom w:val="0"/>
              <w:divBdr>
                <w:top w:val="none" w:sz="0" w:space="0" w:color="auto"/>
                <w:left w:val="none" w:sz="0" w:space="0" w:color="auto"/>
                <w:bottom w:val="none" w:sz="0" w:space="0" w:color="auto"/>
                <w:right w:val="none" w:sz="0" w:space="0" w:color="auto"/>
              </w:divBdr>
              <w:divsChild>
                <w:div w:id="111218180">
                  <w:marLeft w:val="0"/>
                  <w:marRight w:val="0"/>
                  <w:marTop w:val="0"/>
                  <w:marBottom w:val="0"/>
                  <w:divBdr>
                    <w:top w:val="none" w:sz="0" w:space="0" w:color="auto"/>
                    <w:left w:val="none" w:sz="0" w:space="0" w:color="auto"/>
                    <w:bottom w:val="none" w:sz="0" w:space="0" w:color="auto"/>
                    <w:right w:val="none" w:sz="0" w:space="0" w:color="auto"/>
                  </w:divBdr>
                </w:div>
              </w:divsChild>
            </w:div>
            <w:div w:id="1239562908">
              <w:marLeft w:val="0"/>
              <w:marRight w:val="0"/>
              <w:marTop w:val="0"/>
              <w:marBottom w:val="0"/>
              <w:divBdr>
                <w:top w:val="none" w:sz="0" w:space="0" w:color="auto"/>
                <w:left w:val="none" w:sz="0" w:space="0" w:color="auto"/>
                <w:bottom w:val="none" w:sz="0" w:space="0" w:color="auto"/>
                <w:right w:val="none" w:sz="0" w:space="0" w:color="auto"/>
              </w:divBdr>
              <w:divsChild>
                <w:div w:id="671879281">
                  <w:marLeft w:val="0"/>
                  <w:marRight w:val="0"/>
                  <w:marTop w:val="0"/>
                  <w:marBottom w:val="0"/>
                  <w:divBdr>
                    <w:top w:val="none" w:sz="0" w:space="0" w:color="auto"/>
                    <w:left w:val="none" w:sz="0" w:space="0" w:color="auto"/>
                    <w:bottom w:val="none" w:sz="0" w:space="0" w:color="auto"/>
                    <w:right w:val="none" w:sz="0" w:space="0" w:color="auto"/>
                  </w:divBdr>
                </w:div>
              </w:divsChild>
            </w:div>
            <w:div w:id="1286084502">
              <w:marLeft w:val="0"/>
              <w:marRight w:val="0"/>
              <w:marTop w:val="0"/>
              <w:marBottom w:val="0"/>
              <w:divBdr>
                <w:top w:val="none" w:sz="0" w:space="0" w:color="auto"/>
                <w:left w:val="none" w:sz="0" w:space="0" w:color="auto"/>
                <w:bottom w:val="none" w:sz="0" w:space="0" w:color="auto"/>
                <w:right w:val="none" w:sz="0" w:space="0" w:color="auto"/>
              </w:divBdr>
              <w:divsChild>
                <w:div w:id="890191481">
                  <w:marLeft w:val="0"/>
                  <w:marRight w:val="0"/>
                  <w:marTop w:val="0"/>
                  <w:marBottom w:val="0"/>
                  <w:divBdr>
                    <w:top w:val="none" w:sz="0" w:space="0" w:color="auto"/>
                    <w:left w:val="none" w:sz="0" w:space="0" w:color="auto"/>
                    <w:bottom w:val="none" w:sz="0" w:space="0" w:color="auto"/>
                    <w:right w:val="none" w:sz="0" w:space="0" w:color="auto"/>
                  </w:divBdr>
                </w:div>
              </w:divsChild>
            </w:div>
            <w:div w:id="1286694970">
              <w:marLeft w:val="0"/>
              <w:marRight w:val="0"/>
              <w:marTop w:val="0"/>
              <w:marBottom w:val="0"/>
              <w:divBdr>
                <w:top w:val="none" w:sz="0" w:space="0" w:color="auto"/>
                <w:left w:val="none" w:sz="0" w:space="0" w:color="auto"/>
                <w:bottom w:val="none" w:sz="0" w:space="0" w:color="auto"/>
                <w:right w:val="none" w:sz="0" w:space="0" w:color="auto"/>
              </w:divBdr>
              <w:divsChild>
                <w:div w:id="1900748591">
                  <w:marLeft w:val="0"/>
                  <w:marRight w:val="0"/>
                  <w:marTop w:val="0"/>
                  <w:marBottom w:val="0"/>
                  <w:divBdr>
                    <w:top w:val="none" w:sz="0" w:space="0" w:color="auto"/>
                    <w:left w:val="none" w:sz="0" w:space="0" w:color="auto"/>
                    <w:bottom w:val="none" w:sz="0" w:space="0" w:color="auto"/>
                    <w:right w:val="none" w:sz="0" w:space="0" w:color="auto"/>
                  </w:divBdr>
                </w:div>
              </w:divsChild>
            </w:div>
            <w:div w:id="1350906901">
              <w:marLeft w:val="0"/>
              <w:marRight w:val="0"/>
              <w:marTop w:val="0"/>
              <w:marBottom w:val="0"/>
              <w:divBdr>
                <w:top w:val="none" w:sz="0" w:space="0" w:color="auto"/>
                <w:left w:val="none" w:sz="0" w:space="0" w:color="auto"/>
                <w:bottom w:val="none" w:sz="0" w:space="0" w:color="auto"/>
                <w:right w:val="none" w:sz="0" w:space="0" w:color="auto"/>
              </w:divBdr>
              <w:divsChild>
                <w:div w:id="1693728514">
                  <w:marLeft w:val="0"/>
                  <w:marRight w:val="0"/>
                  <w:marTop w:val="0"/>
                  <w:marBottom w:val="0"/>
                  <w:divBdr>
                    <w:top w:val="none" w:sz="0" w:space="0" w:color="auto"/>
                    <w:left w:val="none" w:sz="0" w:space="0" w:color="auto"/>
                    <w:bottom w:val="none" w:sz="0" w:space="0" w:color="auto"/>
                    <w:right w:val="none" w:sz="0" w:space="0" w:color="auto"/>
                  </w:divBdr>
                </w:div>
              </w:divsChild>
            </w:div>
            <w:div w:id="1361392561">
              <w:marLeft w:val="0"/>
              <w:marRight w:val="0"/>
              <w:marTop w:val="0"/>
              <w:marBottom w:val="0"/>
              <w:divBdr>
                <w:top w:val="none" w:sz="0" w:space="0" w:color="auto"/>
                <w:left w:val="none" w:sz="0" w:space="0" w:color="auto"/>
                <w:bottom w:val="none" w:sz="0" w:space="0" w:color="auto"/>
                <w:right w:val="none" w:sz="0" w:space="0" w:color="auto"/>
              </w:divBdr>
              <w:divsChild>
                <w:div w:id="1540976463">
                  <w:marLeft w:val="0"/>
                  <w:marRight w:val="0"/>
                  <w:marTop w:val="0"/>
                  <w:marBottom w:val="0"/>
                  <w:divBdr>
                    <w:top w:val="none" w:sz="0" w:space="0" w:color="auto"/>
                    <w:left w:val="none" w:sz="0" w:space="0" w:color="auto"/>
                    <w:bottom w:val="none" w:sz="0" w:space="0" w:color="auto"/>
                    <w:right w:val="none" w:sz="0" w:space="0" w:color="auto"/>
                  </w:divBdr>
                </w:div>
              </w:divsChild>
            </w:div>
            <w:div w:id="1397967757">
              <w:marLeft w:val="0"/>
              <w:marRight w:val="0"/>
              <w:marTop w:val="0"/>
              <w:marBottom w:val="0"/>
              <w:divBdr>
                <w:top w:val="none" w:sz="0" w:space="0" w:color="auto"/>
                <w:left w:val="none" w:sz="0" w:space="0" w:color="auto"/>
                <w:bottom w:val="none" w:sz="0" w:space="0" w:color="auto"/>
                <w:right w:val="none" w:sz="0" w:space="0" w:color="auto"/>
              </w:divBdr>
              <w:divsChild>
                <w:div w:id="1702901853">
                  <w:marLeft w:val="0"/>
                  <w:marRight w:val="0"/>
                  <w:marTop w:val="0"/>
                  <w:marBottom w:val="0"/>
                  <w:divBdr>
                    <w:top w:val="none" w:sz="0" w:space="0" w:color="auto"/>
                    <w:left w:val="none" w:sz="0" w:space="0" w:color="auto"/>
                    <w:bottom w:val="none" w:sz="0" w:space="0" w:color="auto"/>
                    <w:right w:val="none" w:sz="0" w:space="0" w:color="auto"/>
                  </w:divBdr>
                </w:div>
              </w:divsChild>
            </w:div>
            <w:div w:id="1438333163">
              <w:marLeft w:val="0"/>
              <w:marRight w:val="0"/>
              <w:marTop w:val="0"/>
              <w:marBottom w:val="0"/>
              <w:divBdr>
                <w:top w:val="none" w:sz="0" w:space="0" w:color="auto"/>
                <w:left w:val="none" w:sz="0" w:space="0" w:color="auto"/>
                <w:bottom w:val="none" w:sz="0" w:space="0" w:color="auto"/>
                <w:right w:val="none" w:sz="0" w:space="0" w:color="auto"/>
              </w:divBdr>
              <w:divsChild>
                <w:div w:id="603732878">
                  <w:marLeft w:val="0"/>
                  <w:marRight w:val="0"/>
                  <w:marTop w:val="0"/>
                  <w:marBottom w:val="0"/>
                  <w:divBdr>
                    <w:top w:val="none" w:sz="0" w:space="0" w:color="auto"/>
                    <w:left w:val="none" w:sz="0" w:space="0" w:color="auto"/>
                    <w:bottom w:val="none" w:sz="0" w:space="0" w:color="auto"/>
                    <w:right w:val="none" w:sz="0" w:space="0" w:color="auto"/>
                  </w:divBdr>
                </w:div>
              </w:divsChild>
            </w:div>
            <w:div w:id="1443765998">
              <w:marLeft w:val="0"/>
              <w:marRight w:val="0"/>
              <w:marTop w:val="0"/>
              <w:marBottom w:val="0"/>
              <w:divBdr>
                <w:top w:val="none" w:sz="0" w:space="0" w:color="auto"/>
                <w:left w:val="none" w:sz="0" w:space="0" w:color="auto"/>
                <w:bottom w:val="none" w:sz="0" w:space="0" w:color="auto"/>
                <w:right w:val="none" w:sz="0" w:space="0" w:color="auto"/>
              </w:divBdr>
              <w:divsChild>
                <w:div w:id="553586514">
                  <w:marLeft w:val="0"/>
                  <w:marRight w:val="0"/>
                  <w:marTop w:val="0"/>
                  <w:marBottom w:val="0"/>
                  <w:divBdr>
                    <w:top w:val="none" w:sz="0" w:space="0" w:color="auto"/>
                    <w:left w:val="none" w:sz="0" w:space="0" w:color="auto"/>
                    <w:bottom w:val="none" w:sz="0" w:space="0" w:color="auto"/>
                    <w:right w:val="none" w:sz="0" w:space="0" w:color="auto"/>
                  </w:divBdr>
                </w:div>
              </w:divsChild>
            </w:div>
            <w:div w:id="1473332578">
              <w:marLeft w:val="0"/>
              <w:marRight w:val="0"/>
              <w:marTop w:val="0"/>
              <w:marBottom w:val="0"/>
              <w:divBdr>
                <w:top w:val="none" w:sz="0" w:space="0" w:color="auto"/>
                <w:left w:val="none" w:sz="0" w:space="0" w:color="auto"/>
                <w:bottom w:val="none" w:sz="0" w:space="0" w:color="auto"/>
                <w:right w:val="none" w:sz="0" w:space="0" w:color="auto"/>
              </w:divBdr>
              <w:divsChild>
                <w:div w:id="461197657">
                  <w:marLeft w:val="0"/>
                  <w:marRight w:val="0"/>
                  <w:marTop w:val="0"/>
                  <w:marBottom w:val="0"/>
                  <w:divBdr>
                    <w:top w:val="none" w:sz="0" w:space="0" w:color="auto"/>
                    <w:left w:val="none" w:sz="0" w:space="0" w:color="auto"/>
                    <w:bottom w:val="none" w:sz="0" w:space="0" w:color="auto"/>
                    <w:right w:val="none" w:sz="0" w:space="0" w:color="auto"/>
                  </w:divBdr>
                </w:div>
              </w:divsChild>
            </w:div>
            <w:div w:id="1498576291">
              <w:marLeft w:val="0"/>
              <w:marRight w:val="0"/>
              <w:marTop w:val="0"/>
              <w:marBottom w:val="0"/>
              <w:divBdr>
                <w:top w:val="none" w:sz="0" w:space="0" w:color="auto"/>
                <w:left w:val="none" w:sz="0" w:space="0" w:color="auto"/>
                <w:bottom w:val="none" w:sz="0" w:space="0" w:color="auto"/>
                <w:right w:val="none" w:sz="0" w:space="0" w:color="auto"/>
              </w:divBdr>
              <w:divsChild>
                <w:div w:id="294868867">
                  <w:marLeft w:val="0"/>
                  <w:marRight w:val="0"/>
                  <w:marTop w:val="0"/>
                  <w:marBottom w:val="0"/>
                  <w:divBdr>
                    <w:top w:val="none" w:sz="0" w:space="0" w:color="auto"/>
                    <w:left w:val="none" w:sz="0" w:space="0" w:color="auto"/>
                    <w:bottom w:val="none" w:sz="0" w:space="0" w:color="auto"/>
                    <w:right w:val="none" w:sz="0" w:space="0" w:color="auto"/>
                  </w:divBdr>
                </w:div>
              </w:divsChild>
            </w:div>
            <w:div w:id="1528984406">
              <w:marLeft w:val="0"/>
              <w:marRight w:val="0"/>
              <w:marTop w:val="0"/>
              <w:marBottom w:val="0"/>
              <w:divBdr>
                <w:top w:val="none" w:sz="0" w:space="0" w:color="auto"/>
                <w:left w:val="none" w:sz="0" w:space="0" w:color="auto"/>
                <w:bottom w:val="none" w:sz="0" w:space="0" w:color="auto"/>
                <w:right w:val="none" w:sz="0" w:space="0" w:color="auto"/>
              </w:divBdr>
              <w:divsChild>
                <w:div w:id="1820002010">
                  <w:marLeft w:val="0"/>
                  <w:marRight w:val="0"/>
                  <w:marTop w:val="0"/>
                  <w:marBottom w:val="0"/>
                  <w:divBdr>
                    <w:top w:val="none" w:sz="0" w:space="0" w:color="auto"/>
                    <w:left w:val="none" w:sz="0" w:space="0" w:color="auto"/>
                    <w:bottom w:val="none" w:sz="0" w:space="0" w:color="auto"/>
                    <w:right w:val="none" w:sz="0" w:space="0" w:color="auto"/>
                  </w:divBdr>
                </w:div>
              </w:divsChild>
            </w:div>
            <w:div w:id="1561477487">
              <w:marLeft w:val="0"/>
              <w:marRight w:val="0"/>
              <w:marTop w:val="0"/>
              <w:marBottom w:val="0"/>
              <w:divBdr>
                <w:top w:val="none" w:sz="0" w:space="0" w:color="auto"/>
                <w:left w:val="none" w:sz="0" w:space="0" w:color="auto"/>
                <w:bottom w:val="none" w:sz="0" w:space="0" w:color="auto"/>
                <w:right w:val="none" w:sz="0" w:space="0" w:color="auto"/>
              </w:divBdr>
              <w:divsChild>
                <w:div w:id="675041662">
                  <w:marLeft w:val="0"/>
                  <w:marRight w:val="0"/>
                  <w:marTop w:val="0"/>
                  <w:marBottom w:val="0"/>
                  <w:divBdr>
                    <w:top w:val="none" w:sz="0" w:space="0" w:color="auto"/>
                    <w:left w:val="none" w:sz="0" w:space="0" w:color="auto"/>
                    <w:bottom w:val="none" w:sz="0" w:space="0" w:color="auto"/>
                    <w:right w:val="none" w:sz="0" w:space="0" w:color="auto"/>
                  </w:divBdr>
                </w:div>
              </w:divsChild>
            </w:div>
            <w:div w:id="1581019570">
              <w:marLeft w:val="0"/>
              <w:marRight w:val="0"/>
              <w:marTop w:val="0"/>
              <w:marBottom w:val="0"/>
              <w:divBdr>
                <w:top w:val="none" w:sz="0" w:space="0" w:color="auto"/>
                <w:left w:val="none" w:sz="0" w:space="0" w:color="auto"/>
                <w:bottom w:val="none" w:sz="0" w:space="0" w:color="auto"/>
                <w:right w:val="none" w:sz="0" w:space="0" w:color="auto"/>
              </w:divBdr>
              <w:divsChild>
                <w:div w:id="984116157">
                  <w:marLeft w:val="0"/>
                  <w:marRight w:val="0"/>
                  <w:marTop w:val="0"/>
                  <w:marBottom w:val="0"/>
                  <w:divBdr>
                    <w:top w:val="none" w:sz="0" w:space="0" w:color="auto"/>
                    <w:left w:val="none" w:sz="0" w:space="0" w:color="auto"/>
                    <w:bottom w:val="none" w:sz="0" w:space="0" w:color="auto"/>
                    <w:right w:val="none" w:sz="0" w:space="0" w:color="auto"/>
                  </w:divBdr>
                </w:div>
              </w:divsChild>
            </w:div>
            <w:div w:id="1615865771">
              <w:marLeft w:val="0"/>
              <w:marRight w:val="0"/>
              <w:marTop w:val="0"/>
              <w:marBottom w:val="0"/>
              <w:divBdr>
                <w:top w:val="none" w:sz="0" w:space="0" w:color="auto"/>
                <w:left w:val="none" w:sz="0" w:space="0" w:color="auto"/>
                <w:bottom w:val="none" w:sz="0" w:space="0" w:color="auto"/>
                <w:right w:val="none" w:sz="0" w:space="0" w:color="auto"/>
              </w:divBdr>
              <w:divsChild>
                <w:div w:id="985430694">
                  <w:marLeft w:val="0"/>
                  <w:marRight w:val="0"/>
                  <w:marTop w:val="0"/>
                  <w:marBottom w:val="0"/>
                  <w:divBdr>
                    <w:top w:val="none" w:sz="0" w:space="0" w:color="auto"/>
                    <w:left w:val="none" w:sz="0" w:space="0" w:color="auto"/>
                    <w:bottom w:val="none" w:sz="0" w:space="0" w:color="auto"/>
                    <w:right w:val="none" w:sz="0" w:space="0" w:color="auto"/>
                  </w:divBdr>
                </w:div>
              </w:divsChild>
            </w:div>
            <w:div w:id="1681471199">
              <w:marLeft w:val="0"/>
              <w:marRight w:val="0"/>
              <w:marTop w:val="0"/>
              <w:marBottom w:val="0"/>
              <w:divBdr>
                <w:top w:val="none" w:sz="0" w:space="0" w:color="auto"/>
                <w:left w:val="none" w:sz="0" w:space="0" w:color="auto"/>
                <w:bottom w:val="none" w:sz="0" w:space="0" w:color="auto"/>
                <w:right w:val="none" w:sz="0" w:space="0" w:color="auto"/>
              </w:divBdr>
              <w:divsChild>
                <w:div w:id="1078019356">
                  <w:marLeft w:val="0"/>
                  <w:marRight w:val="0"/>
                  <w:marTop w:val="0"/>
                  <w:marBottom w:val="0"/>
                  <w:divBdr>
                    <w:top w:val="none" w:sz="0" w:space="0" w:color="auto"/>
                    <w:left w:val="none" w:sz="0" w:space="0" w:color="auto"/>
                    <w:bottom w:val="none" w:sz="0" w:space="0" w:color="auto"/>
                    <w:right w:val="none" w:sz="0" w:space="0" w:color="auto"/>
                  </w:divBdr>
                </w:div>
              </w:divsChild>
            </w:div>
            <w:div w:id="1691563184">
              <w:marLeft w:val="0"/>
              <w:marRight w:val="0"/>
              <w:marTop w:val="0"/>
              <w:marBottom w:val="0"/>
              <w:divBdr>
                <w:top w:val="none" w:sz="0" w:space="0" w:color="auto"/>
                <w:left w:val="none" w:sz="0" w:space="0" w:color="auto"/>
                <w:bottom w:val="none" w:sz="0" w:space="0" w:color="auto"/>
                <w:right w:val="none" w:sz="0" w:space="0" w:color="auto"/>
              </w:divBdr>
              <w:divsChild>
                <w:div w:id="1635064620">
                  <w:marLeft w:val="0"/>
                  <w:marRight w:val="0"/>
                  <w:marTop w:val="0"/>
                  <w:marBottom w:val="0"/>
                  <w:divBdr>
                    <w:top w:val="none" w:sz="0" w:space="0" w:color="auto"/>
                    <w:left w:val="none" w:sz="0" w:space="0" w:color="auto"/>
                    <w:bottom w:val="none" w:sz="0" w:space="0" w:color="auto"/>
                    <w:right w:val="none" w:sz="0" w:space="0" w:color="auto"/>
                  </w:divBdr>
                </w:div>
              </w:divsChild>
            </w:div>
            <w:div w:id="1786118813">
              <w:marLeft w:val="0"/>
              <w:marRight w:val="0"/>
              <w:marTop w:val="0"/>
              <w:marBottom w:val="0"/>
              <w:divBdr>
                <w:top w:val="none" w:sz="0" w:space="0" w:color="auto"/>
                <w:left w:val="none" w:sz="0" w:space="0" w:color="auto"/>
                <w:bottom w:val="none" w:sz="0" w:space="0" w:color="auto"/>
                <w:right w:val="none" w:sz="0" w:space="0" w:color="auto"/>
              </w:divBdr>
              <w:divsChild>
                <w:div w:id="2066443094">
                  <w:marLeft w:val="0"/>
                  <w:marRight w:val="0"/>
                  <w:marTop w:val="0"/>
                  <w:marBottom w:val="0"/>
                  <w:divBdr>
                    <w:top w:val="none" w:sz="0" w:space="0" w:color="auto"/>
                    <w:left w:val="none" w:sz="0" w:space="0" w:color="auto"/>
                    <w:bottom w:val="none" w:sz="0" w:space="0" w:color="auto"/>
                    <w:right w:val="none" w:sz="0" w:space="0" w:color="auto"/>
                  </w:divBdr>
                </w:div>
              </w:divsChild>
            </w:div>
            <w:div w:id="1806198818">
              <w:marLeft w:val="0"/>
              <w:marRight w:val="0"/>
              <w:marTop w:val="0"/>
              <w:marBottom w:val="0"/>
              <w:divBdr>
                <w:top w:val="none" w:sz="0" w:space="0" w:color="auto"/>
                <w:left w:val="none" w:sz="0" w:space="0" w:color="auto"/>
                <w:bottom w:val="none" w:sz="0" w:space="0" w:color="auto"/>
                <w:right w:val="none" w:sz="0" w:space="0" w:color="auto"/>
              </w:divBdr>
              <w:divsChild>
                <w:div w:id="773745047">
                  <w:marLeft w:val="0"/>
                  <w:marRight w:val="0"/>
                  <w:marTop w:val="0"/>
                  <w:marBottom w:val="0"/>
                  <w:divBdr>
                    <w:top w:val="none" w:sz="0" w:space="0" w:color="auto"/>
                    <w:left w:val="none" w:sz="0" w:space="0" w:color="auto"/>
                    <w:bottom w:val="none" w:sz="0" w:space="0" w:color="auto"/>
                    <w:right w:val="none" w:sz="0" w:space="0" w:color="auto"/>
                  </w:divBdr>
                </w:div>
              </w:divsChild>
            </w:div>
            <w:div w:id="1814910890">
              <w:marLeft w:val="0"/>
              <w:marRight w:val="0"/>
              <w:marTop w:val="0"/>
              <w:marBottom w:val="0"/>
              <w:divBdr>
                <w:top w:val="none" w:sz="0" w:space="0" w:color="auto"/>
                <w:left w:val="none" w:sz="0" w:space="0" w:color="auto"/>
                <w:bottom w:val="none" w:sz="0" w:space="0" w:color="auto"/>
                <w:right w:val="none" w:sz="0" w:space="0" w:color="auto"/>
              </w:divBdr>
              <w:divsChild>
                <w:div w:id="1455564882">
                  <w:marLeft w:val="0"/>
                  <w:marRight w:val="0"/>
                  <w:marTop w:val="0"/>
                  <w:marBottom w:val="0"/>
                  <w:divBdr>
                    <w:top w:val="none" w:sz="0" w:space="0" w:color="auto"/>
                    <w:left w:val="none" w:sz="0" w:space="0" w:color="auto"/>
                    <w:bottom w:val="none" w:sz="0" w:space="0" w:color="auto"/>
                    <w:right w:val="none" w:sz="0" w:space="0" w:color="auto"/>
                  </w:divBdr>
                </w:div>
              </w:divsChild>
            </w:div>
            <w:div w:id="1826971309">
              <w:marLeft w:val="0"/>
              <w:marRight w:val="0"/>
              <w:marTop w:val="0"/>
              <w:marBottom w:val="0"/>
              <w:divBdr>
                <w:top w:val="none" w:sz="0" w:space="0" w:color="auto"/>
                <w:left w:val="none" w:sz="0" w:space="0" w:color="auto"/>
                <w:bottom w:val="none" w:sz="0" w:space="0" w:color="auto"/>
                <w:right w:val="none" w:sz="0" w:space="0" w:color="auto"/>
              </w:divBdr>
              <w:divsChild>
                <w:div w:id="1236472883">
                  <w:marLeft w:val="0"/>
                  <w:marRight w:val="0"/>
                  <w:marTop w:val="0"/>
                  <w:marBottom w:val="0"/>
                  <w:divBdr>
                    <w:top w:val="none" w:sz="0" w:space="0" w:color="auto"/>
                    <w:left w:val="none" w:sz="0" w:space="0" w:color="auto"/>
                    <w:bottom w:val="none" w:sz="0" w:space="0" w:color="auto"/>
                    <w:right w:val="none" w:sz="0" w:space="0" w:color="auto"/>
                  </w:divBdr>
                </w:div>
              </w:divsChild>
            </w:div>
            <w:div w:id="1928272733">
              <w:marLeft w:val="0"/>
              <w:marRight w:val="0"/>
              <w:marTop w:val="0"/>
              <w:marBottom w:val="0"/>
              <w:divBdr>
                <w:top w:val="none" w:sz="0" w:space="0" w:color="auto"/>
                <w:left w:val="none" w:sz="0" w:space="0" w:color="auto"/>
                <w:bottom w:val="none" w:sz="0" w:space="0" w:color="auto"/>
                <w:right w:val="none" w:sz="0" w:space="0" w:color="auto"/>
              </w:divBdr>
              <w:divsChild>
                <w:div w:id="1968001459">
                  <w:marLeft w:val="0"/>
                  <w:marRight w:val="0"/>
                  <w:marTop w:val="0"/>
                  <w:marBottom w:val="0"/>
                  <w:divBdr>
                    <w:top w:val="none" w:sz="0" w:space="0" w:color="auto"/>
                    <w:left w:val="none" w:sz="0" w:space="0" w:color="auto"/>
                    <w:bottom w:val="none" w:sz="0" w:space="0" w:color="auto"/>
                    <w:right w:val="none" w:sz="0" w:space="0" w:color="auto"/>
                  </w:divBdr>
                </w:div>
              </w:divsChild>
            </w:div>
            <w:div w:id="1970477448">
              <w:marLeft w:val="0"/>
              <w:marRight w:val="0"/>
              <w:marTop w:val="0"/>
              <w:marBottom w:val="0"/>
              <w:divBdr>
                <w:top w:val="none" w:sz="0" w:space="0" w:color="auto"/>
                <w:left w:val="none" w:sz="0" w:space="0" w:color="auto"/>
                <w:bottom w:val="none" w:sz="0" w:space="0" w:color="auto"/>
                <w:right w:val="none" w:sz="0" w:space="0" w:color="auto"/>
              </w:divBdr>
              <w:divsChild>
                <w:div w:id="161697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278832">
      <w:bodyDiv w:val="1"/>
      <w:marLeft w:val="0"/>
      <w:marRight w:val="0"/>
      <w:marTop w:val="0"/>
      <w:marBottom w:val="0"/>
      <w:divBdr>
        <w:top w:val="none" w:sz="0" w:space="0" w:color="auto"/>
        <w:left w:val="none" w:sz="0" w:space="0" w:color="auto"/>
        <w:bottom w:val="none" w:sz="0" w:space="0" w:color="auto"/>
        <w:right w:val="none" w:sz="0" w:space="0" w:color="auto"/>
      </w:divBdr>
      <w:divsChild>
        <w:div w:id="1393848544">
          <w:marLeft w:val="0"/>
          <w:marRight w:val="0"/>
          <w:marTop w:val="0"/>
          <w:marBottom w:val="0"/>
          <w:divBdr>
            <w:top w:val="none" w:sz="0" w:space="0" w:color="auto"/>
            <w:left w:val="none" w:sz="0" w:space="0" w:color="auto"/>
            <w:bottom w:val="none" w:sz="0" w:space="0" w:color="auto"/>
            <w:right w:val="none" w:sz="0" w:space="0" w:color="auto"/>
          </w:divBdr>
          <w:divsChild>
            <w:div w:id="33241610">
              <w:marLeft w:val="0"/>
              <w:marRight w:val="0"/>
              <w:marTop w:val="0"/>
              <w:marBottom w:val="0"/>
              <w:divBdr>
                <w:top w:val="none" w:sz="0" w:space="0" w:color="auto"/>
                <w:left w:val="none" w:sz="0" w:space="0" w:color="auto"/>
                <w:bottom w:val="none" w:sz="0" w:space="0" w:color="auto"/>
                <w:right w:val="none" w:sz="0" w:space="0" w:color="auto"/>
              </w:divBdr>
              <w:divsChild>
                <w:div w:id="649017471">
                  <w:marLeft w:val="0"/>
                  <w:marRight w:val="0"/>
                  <w:marTop w:val="0"/>
                  <w:marBottom w:val="0"/>
                  <w:divBdr>
                    <w:top w:val="none" w:sz="0" w:space="0" w:color="auto"/>
                    <w:left w:val="none" w:sz="0" w:space="0" w:color="auto"/>
                    <w:bottom w:val="none" w:sz="0" w:space="0" w:color="auto"/>
                    <w:right w:val="none" w:sz="0" w:space="0" w:color="auto"/>
                  </w:divBdr>
                </w:div>
              </w:divsChild>
            </w:div>
            <w:div w:id="34358560">
              <w:marLeft w:val="0"/>
              <w:marRight w:val="0"/>
              <w:marTop w:val="0"/>
              <w:marBottom w:val="0"/>
              <w:divBdr>
                <w:top w:val="none" w:sz="0" w:space="0" w:color="auto"/>
                <w:left w:val="none" w:sz="0" w:space="0" w:color="auto"/>
                <w:bottom w:val="none" w:sz="0" w:space="0" w:color="auto"/>
                <w:right w:val="none" w:sz="0" w:space="0" w:color="auto"/>
              </w:divBdr>
              <w:divsChild>
                <w:div w:id="154303253">
                  <w:marLeft w:val="0"/>
                  <w:marRight w:val="0"/>
                  <w:marTop w:val="0"/>
                  <w:marBottom w:val="0"/>
                  <w:divBdr>
                    <w:top w:val="none" w:sz="0" w:space="0" w:color="auto"/>
                    <w:left w:val="none" w:sz="0" w:space="0" w:color="auto"/>
                    <w:bottom w:val="none" w:sz="0" w:space="0" w:color="auto"/>
                    <w:right w:val="none" w:sz="0" w:space="0" w:color="auto"/>
                  </w:divBdr>
                </w:div>
              </w:divsChild>
            </w:div>
            <w:div w:id="54427295">
              <w:marLeft w:val="0"/>
              <w:marRight w:val="0"/>
              <w:marTop w:val="0"/>
              <w:marBottom w:val="0"/>
              <w:divBdr>
                <w:top w:val="none" w:sz="0" w:space="0" w:color="auto"/>
                <w:left w:val="none" w:sz="0" w:space="0" w:color="auto"/>
                <w:bottom w:val="none" w:sz="0" w:space="0" w:color="auto"/>
                <w:right w:val="none" w:sz="0" w:space="0" w:color="auto"/>
              </w:divBdr>
              <w:divsChild>
                <w:div w:id="650910498">
                  <w:marLeft w:val="0"/>
                  <w:marRight w:val="0"/>
                  <w:marTop w:val="0"/>
                  <w:marBottom w:val="0"/>
                  <w:divBdr>
                    <w:top w:val="none" w:sz="0" w:space="0" w:color="auto"/>
                    <w:left w:val="none" w:sz="0" w:space="0" w:color="auto"/>
                    <w:bottom w:val="none" w:sz="0" w:space="0" w:color="auto"/>
                    <w:right w:val="none" w:sz="0" w:space="0" w:color="auto"/>
                  </w:divBdr>
                </w:div>
              </w:divsChild>
            </w:div>
            <w:div w:id="151456322">
              <w:marLeft w:val="0"/>
              <w:marRight w:val="0"/>
              <w:marTop w:val="0"/>
              <w:marBottom w:val="0"/>
              <w:divBdr>
                <w:top w:val="none" w:sz="0" w:space="0" w:color="auto"/>
                <w:left w:val="none" w:sz="0" w:space="0" w:color="auto"/>
                <w:bottom w:val="none" w:sz="0" w:space="0" w:color="auto"/>
                <w:right w:val="none" w:sz="0" w:space="0" w:color="auto"/>
              </w:divBdr>
              <w:divsChild>
                <w:div w:id="1609505103">
                  <w:marLeft w:val="0"/>
                  <w:marRight w:val="0"/>
                  <w:marTop w:val="0"/>
                  <w:marBottom w:val="0"/>
                  <w:divBdr>
                    <w:top w:val="none" w:sz="0" w:space="0" w:color="auto"/>
                    <w:left w:val="none" w:sz="0" w:space="0" w:color="auto"/>
                    <w:bottom w:val="none" w:sz="0" w:space="0" w:color="auto"/>
                    <w:right w:val="none" w:sz="0" w:space="0" w:color="auto"/>
                  </w:divBdr>
                </w:div>
              </w:divsChild>
            </w:div>
            <w:div w:id="152187677">
              <w:marLeft w:val="0"/>
              <w:marRight w:val="0"/>
              <w:marTop w:val="0"/>
              <w:marBottom w:val="0"/>
              <w:divBdr>
                <w:top w:val="none" w:sz="0" w:space="0" w:color="auto"/>
                <w:left w:val="none" w:sz="0" w:space="0" w:color="auto"/>
                <w:bottom w:val="none" w:sz="0" w:space="0" w:color="auto"/>
                <w:right w:val="none" w:sz="0" w:space="0" w:color="auto"/>
              </w:divBdr>
              <w:divsChild>
                <w:div w:id="235632178">
                  <w:marLeft w:val="0"/>
                  <w:marRight w:val="0"/>
                  <w:marTop w:val="0"/>
                  <w:marBottom w:val="0"/>
                  <w:divBdr>
                    <w:top w:val="none" w:sz="0" w:space="0" w:color="auto"/>
                    <w:left w:val="none" w:sz="0" w:space="0" w:color="auto"/>
                    <w:bottom w:val="none" w:sz="0" w:space="0" w:color="auto"/>
                    <w:right w:val="none" w:sz="0" w:space="0" w:color="auto"/>
                  </w:divBdr>
                </w:div>
              </w:divsChild>
            </w:div>
            <w:div w:id="239679958">
              <w:marLeft w:val="0"/>
              <w:marRight w:val="0"/>
              <w:marTop w:val="0"/>
              <w:marBottom w:val="0"/>
              <w:divBdr>
                <w:top w:val="none" w:sz="0" w:space="0" w:color="auto"/>
                <w:left w:val="none" w:sz="0" w:space="0" w:color="auto"/>
                <w:bottom w:val="none" w:sz="0" w:space="0" w:color="auto"/>
                <w:right w:val="none" w:sz="0" w:space="0" w:color="auto"/>
              </w:divBdr>
              <w:divsChild>
                <w:div w:id="993677625">
                  <w:marLeft w:val="0"/>
                  <w:marRight w:val="0"/>
                  <w:marTop w:val="0"/>
                  <w:marBottom w:val="0"/>
                  <w:divBdr>
                    <w:top w:val="none" w:sz="0" w:space="0" w:color="auto"/>
                    <w:left w:val="none" w:sz="0" w:space="0" w:color="auto"/>
                    <w:bottom w:val="none" w:sz="0" w:space="0" w:color="auto"/>
                    <w:right w:val="none" w:sz="0" w:space="0" w:color="auto"/>
                  </w:divBdr>
                </w:div>
              </w:divsChild>
            </w:div>
            <w:div w:id="297075178">
              <w:marLeft w:val="0"/>
              <w:marRight w:val="0"/>
              <w:marTop w:val="0"/>
              <w:marBottom w:val="0"/>
              <w:divBdr>
                <w:top w:val="none" w:sz="0" w:space="0" w:color="auto"/>
                <w:left w:val="none" w:sz="0" w:space="0" w:color="auto"/>
                <w:bottom w:val="none" w:sz="0" w:space="0" w:color="auto"/>
                <w:right w:val="none" w:sz="0" w:space="0" w:color="auto"/>
              </w:divBdr>
              <w:divsChild>
                <w:div w:id="1289237231">
                  <w:marLeft w:val="0"/>
                  <w:marRight w:val="0"/>
                  <w:marTop w:val="0"/>
                  <w:marBottom w:val="0"/>
                  <w:divBdr>
                    <w:top w:val="none" w:sz="0" w:space="0" w:color="auto"/>
                    <w:left w:val="none" w:sz="0" w:space="0" w:color="auto"/>
                    <w:bottom w:val="none" w:sz="0" w:space="0" w:color="auto"/>
                    <w:right w:val="none" w:sz="0" w:space="0" w:color="auto"/>
                  </w:divBdr>
                </w:div>
              </w:divsChild>
            </w:div>
            <w:div w:id="310837705">
              <w:marLeft w:val="0"/>
              <w:marRight w:val="0"/>
              <w:marTop w:val="0"/>
              <w:marBottom w:val="0"/>
              <w:divBdr>
                <w:top w:val="none" w:sz="0" w:space="0" w:color="auto"/>
                <w:left w:val="none" w:sz="0" w:space="0" w:color="auto"/>
                <w:bottom w:val="none" w:sz="0" w:space="0" w:color="auto"/>
                <w:right w:val="none" w:sz="0" w:space="0" w:color="auto"/>
              </w:divBdr>
              <w:divsChild>
                <w:div w:id="39480835">
                  <w:marLeft w:val="0"/>
                  <w:marRight w:val="0"/>
                  <w:marTop w:val="0"/>
                  <w:marBottom w:val="0"/>
                  <w:divBdr>
                    <w:top w:val="none" w:sz="0" w:space="0" w:color="auto"/>
                    <w:left w:val="none" w:sz="0" w:space="0" w:color="auto"/>
                    <w:bottom w:val="none" w:sz="0" w:space="0" w:color="auto"/>
                    <w:right w:val="none" w:sz="0" w:space="0" w:color="auto"/>
                  </w:divBdr>
                </w:div>
              </w:divsChild>
            </w:div>
            <w:div w:id="342322898">
              <w:marLeft w:val="0"/>
              <w:marRight w:val="0"/>
              <w:marTop w:val="0"/>
              <w:marBottom w:val="0"/>
              <w:divBdr>
                <w:top w:val="none" w:sz="0" w:space="0" w:color="auto"/>
                <w:left w:val="none" w:sz="0" w:space="0" w:color="auto"/>
                <w:bottom w:val="none" w:sz="0" w:space="0" w:color="auto"/>
                <w:right w:val="none" w:sz="0" w:space="0" w:color="auto"/>
              </w:divBdr>
              <w:divsChild>
                <w:div w:id="1455710162">
                  <w:marLeft w:val="0"/>
                  <w:marRight w:val="0"/>
                  <w:marTop w:val="0"/>
                  <w:marBottom w:val="0"/>
                  <w:divBdr>
                    <w:top w:val="none" w:sz="0" w:space="0" w:color="auto"/>
                    <w:left w:val="none" w:sz="0" w:space="0" w:color="auto"/>
                    <w:bottom w:val="none" w:sz="0" w:space="0" w:color="auto"/>
                    <w:right w:val="none" w:sz="0" w:space="0" w:color="auto"/>
                  </w:divBdr>
                </w:div>
              </w:divsChild>
            </w:div>
            <w:div w:id="362244290">
              <w:marLeft w:val="0"/>
              <w:marRight w:val="0"/>
              <w:marTop w:val="0"/>
              <w:marBottom w:val="0"/>
              <w:divBdr>
                <w:top w:val="none" w:sz="0" w:space="0" w:color="auto"/>
                <w:left w:val="none" w:sz="0" w:space="0" w:color="auto"/>
                <w:bottom w:val="none" w:sz="0" w:space="0" w:color="auto"/>
                <w:right w:val="none" w:sz="0" w:space="0" w:color="auto"/>
              </w:divBdr>
              <w:divsChild>
                <w:div w:id="62410851">
                  <w:marLeft w:val="0"/>
                  <w:marRight w:val="0"/>
                  <w:marTop w:val="0"/>
                  <w:marBottom w:val="0"/>
                  <w:divBdr>
                    <w:top w:val="none" w:sz="0" w:space="0" w:color="auto"/>
                    <w:left w:val="none" w:sz="0" w:space="0" w:color="auto"/>
                    <w:bottom w:val="none" w:sz="0" w:space="0" w:color="auto"/>
                    <w:right w:val="none" w:sz="0" w:space="0" w:color="auto"/>
                  </w:divBdr>
                </w:div>
              </w:divsChild>
            </w:div>
            <w:div w:id="569927501">
              <w:marLeft w:val="0"/>
              <w:marRight w:val="0"/>
              <w:marTop w:val="0"/>
              <w:marBottom w:val="0"/>
              <w:divBdr>
                <w:top w:val="none" w:sz="0" w:space="0" w:color="auto"/>
                <w:left w:val="none" w:sz="0" w:space="0" w:color="auto"/>
                <w:bottom w:val="none" w:sz="0" w:space="0" w:color="auto"/>
                <w:right w:val="none" w:sz="0" w:space="0" w:color="auto"/>
              </w:divBdr>
              <w:divsChild>
                <w:div w:id="1976400031">
                  <w:marLeft w:val="0"/>
                  <w:marRight w:val="0"/>
                  <w:marTop w:val="0"/>
                  <w:marBottom w:val="0"/>
                  <w:divBdr>
                    <w:top w:val="none" w:sz="0" w:space="0" w:color="auto"/>
                    <w:left w:val="none" w:sz="0" w:space="0" w:color="auto"/>
                    <w:bottom w:val="none" w:sz="0" w:space="0" w:color="auto"/>
                    <w:right w:val="none" w:sz="0" w:space="0" w:color="auto"/>
                  </w:divBdr>
                </w:div>
              </w:divsChild>
            </w:div>
            <w:div w:id="589124284">
              <w:marLeft w:val="0"/>
              <w:marRight w:val="0"/>
              <w:marTop w:val="0"/>
              <w:marBottom w:val="0"/>
              <w:divBdr>
                <w:top w:val="none" w:sz="0" w:space="0" w:color="auto"/>
                <w:left w:val="none" w:sz="0" w:space="0" w:color="auto"/>
                <w:bottom w:val="none" w:sz="0" w:space="0" w:color="auto"/>
                <w:right w:val="none" w:sz="0" w:space="0" w:color="auto"/>
              </w:divBdr>
              <w:divsChild>
                <w:div w:id="595940505">
                  <w:marLeft w:val="0"/>
                  <w:marRight w:val="0"/>
                  <w:marTop w:val="0"/>
                  <w:marBottom w:val="0"/>
                  <w:divBdr>
                    <w:top w:val="none" w:sz="0" w:space="0" w:color="auto"/>
                    <w:left w:val="none" w:sz="0" w:space="0" w:color="auto"/>
                    <w:bottom w:val="none" w:sz="0" w:space="0" w:color="auto"/>
                    <w:right w:val="none" w:sz="0" w:space="0" w:color="auto"/>
                  </w:divBdr>
                </w:div>
              </w:divsChild>
            </w:div>
            <w:div w:id="689570688">
              <w:marLeft w:val="0"/>
              <w:marRight w:val="0"/>
              <w:marTop w:val="0"/>
              <w:marBottom w:val="0"/>
              <w:divBdr>
                <w:top w:val="none" w:sz="0" w:space="0" w:color="auto"/>
                <w:left w:val="none" w:sz="0" w:space="0" w:color="auto"/>
                <w:bottom w:val="none" w:sz="0" w:space="0" w:color="auto"/>
                <w:right w:val="none" w:sz="0" w:space="0" w:color="auto"/>
              </w:divBdr>
              <w:divsChild>
                <w:div w:id="1231236243">
                  <w:marLeft w:val="0"/>
                  <w:marRight w:val="0"/>
                  <w:marTop w:val="0"/>
                  <w:marBottom w:val="0"/>
                  <w:divBdr>
                    <w:top w:val="none" w:sz="0" w:space="0" w:color="auto"/>
                    <w:left w:val="none" w:sz="0" w:space="0" w:color="auto"/>
                    <w:bottom w:val="none" w:sz="0" w:space="0" w:color="auto"/>
                    <w:right w:val="none" w:sz="0" w:space="0" w:color="auto"/>
                  </w:divBdr>
                </w:div>
              </w:divsChild>
            </w:div>
            <w:div w:id="738480153">
              <w:marLeft w:val="0"/>
              <w:marRight w:val="0"/>
              <w:marTop w:val="0"/>
              <w:marBottom w:val="0"/>
              <w:divBdr>
                <w:top w:val="none" w:sz="0" w:space="0" w:color="auto"/>
                <w:left w:val="none" w:sz="0" w:space="0" w:color="auto"/>
                <w:bottom w:val="none" w:sz="0" w:space="0" w:color="auto"/>
                <w:right w:val="none" w:sz="0" w:space="0" w:color="auto"/>
              </w:divBdr>
              <w:divsChild>
                <w:div w:id="465468459">
                  <w:marLeft w:val="0"/>
                  <w:marRight w:val="0"/>
                  <w:marTop w:val="0"/>
                  <w:marBottom w:val="0"/>
                  <w:divBdr>
                    <w:top w:val="none" w:sz="0" w:space="0" w:color="auto"/>
                    <w:left w:val="none" w:sz="0" w:space="0" w:color="auto"/>
                    <w:bottom w:val="none" w:sz="0" w:space="0" w:color="auto"/>
                    <w:right w:val="none" w:sz="0" w:space="0" w:color="auto"/>
                  </w:divBdr>
                </w:div>
              </w:divsChild>
            </w:div>
            <w:div w:id="758524759">
              <w:marLeft w:val="0"/>
              <w:marRight w:val="0"/>
              <w:marTop w:val="0"/>
              <w:marBottom w:val="0"/>
              <w:divBdr>
                <w:top w:val="none" w:sz="0" w:space="0" w:color="auto"/>
                <w:left w:val="none" w:sz="0" w:space="0" w:color="auto"/>
                <w:bottom w:val="none" w:sz="0" w:space="0" w:color="auto"/>
                <w:right w:val="none" w:sz="0" w:space="0" w:color="auto"/>
              </w:divBdr>
              <w:divsChild>
                <w:div w:id="713382452">
                  <w:marLeft w:val="0"/>
                  <w:marRight w:val="0"/>
                  <w:marTop w:val="0"/>
                  <w:marBottom w:val="0"/>
                  <w:divBdr>
                    <w:top w:val="none" w:sz="0" w:space="0" w:color="auto"/>
                    <w:left w:val="none" w:sz="0" w:space="0" w:color="auto"/>
                    <w:bottom w:val="none" w:sz="0" w:space="0" w:color="auto"/>
                    <w:right w:val="none" w:sz="0" w:space="0" w:color="auto"/>
                  </w:divBdr>
                </w:div>
              </w:divsChild>
            </w:div>
            <w:div w:id="775446215">
              <w:marLeft w:val="0"/>
              <w:marRight w:val="0"/>
              <w:marTop w:val="0"/>
              <w:marBottom w:val="0"/>
              <w:divBdr>
                <w:top w:val="none" w:sz="0" w:space="0" w:color="auto"/>
                <w:left w:val="none" w:sz="0" w:space="0" w:color="auto"/>
                <w:bottom w:val="none" w:sz="0" w:space="0" w:color="auto"/>
                <w:right w:val="none" w:sz="0" w:space="0" w:color="auto"/>
              </w:divBdr>
              <w:divsChild>
                <w:div w:id="1055353608">
                  <w:marLeft w:val="0"/>
                  <w:marRight w:val="0"/>
                  <w:marTop w:val="0"/>
                  <w:marBottom w:val="0"/>
                  <w:divBdr>
                    <w:top w:val="none" w:sz="0" w:space="0" w:color="auto"/>
                    <w:left w:val="none" w:sz="0" w:space="0" w:color="auto"/>
                    <w:bottom w:val="none" w:sz="0" w:space="0" w:color="auto"/>
                    <w:right w:val="none" w:sz="0" w:space="0" w:color="auto"/>
                  </w:divBdr>
                </w:div>
              </w:divsChild>
            </w:div>
            <w:div w:id="819536995">
              <w:marLeft w:val="0"/>
              <w:marRight w:val="0"/>
              <w:marTop w:val="0"/>
              <w:marBottom w:val="0"/>
              <w:divBdr>
                <w:top w:val="none" w:sz="0" w:space="0" w:color="auto"/>
                <w:left w:val="none" w:sz="0" w:space="0" w:color="auto"/>
                <w:bottom w:val="none" w:sz="0" w:space="0" w:color="auto"/>
                <w:right w:val="none" w:sz="0" w:space="0" w:color="auto"/>
              </w:divBdr>
              <w:divsChild>
                <w:div w:id="1583219380">
                  <w:marLeft w:val="0"/>
                  <w:marRight w:val="0"/>
                  <w:marTop w:val="0"/>
                  <w:marBottom w:val="0"/>
                  <w:divBdr>
                    <w:top w:val="none" w:sz="0" w:space="0" w:color="auto"/>
                    <w:left w:val="none" w:sz="0" w:space="0" w:color="auto"/>
                    <w:bottom w:val="none" w:sz="0" w:space="0" w:color="auto"/>
                    <w:right w:val="none" w:sz="0" w:space="0" w:color="auto"/>
                  </w:divBdr>
                </w:div>
              </w:divsChild>
            </w:div>
            <w:div w:id="904803921">
              <w:marLeft w:val="0"/>
              <w:marRight w:val="0"/>
              <w:marTop w:val="0"/>
              <w:marBottom w:val="0"/>
              <w:divBdr>
                <w:top w:val="none" w:sz="0" w:space="0" w:color="auto"/>
                <w:left w:val="none" w:sz="0" w:space="0" w:color="auto"/>
                <w:bottom w:val="none" w:sz="0" w:space="0" w:color="auto"/>
                <w:right w:val="none" w:sz="0" w:space="0" w:color="auto"/>
              </w:divBdr>
              <w:divsChild>
                <w:div w:id="21903335">
                  <w:marLeft w:val="0"/>
                  <w:marRight w:val="0"/>
                  <w:marTop w:val="0"/>
                  <w:marBottom w:val="0"/>
                  <w:divBdr>
                    <w:top w:val="none" w:sz="0" w:space="0" w:color="auto"/>
                    <w:left w:val="none" w:sz="0" w:space="0" w:color="auto"/>
                    <w:bottom w:val="none" w:sz="0" w:space="0" w:color="auto"/>
                    <w:right w:val="none" w:sz="0" w:space="0" w:color="auto"/>
                  </w:divBdr>
                </w:div>
              </w:divsChild>
            </w:div>
            <w:div w:id="905534732">
              <w:marLeft w:val="0"/>
              <w:marRight w:val="0"/>
              <w:marTop w:val="0"/>
              <w:marBottom w:val="0"/>
              <w:divBdr>
                <w:top w:val="none" w:sz="0" w:space="0" w:color="auto"/>
                <w:left w:val="none" w:sz="0" w:space="0" w:color="auto"/>
                <w:bottom w:val="none" w:sz="0" w:space="0" w:color="auto"/>
                <w:right w:val="none" w:sz="0" w:space="0" w:color="auto"/>
              </w:divBdr>
              <w:divsChild>
                <w:div w:id="1580020501">
                  <w:marLeft w:val="0"/>
                  <w:marRight w:val="0"/>
                  <w:marTop w:val="0"/>
                  <w:marBottom w:val="0"/>
                  <w:divBdr>
                    <w:top w:val="none" w:sz="0" w:space="0" w:color="auto"/>
                    <w:left w:val="none" w:sz="0" w:space="0" w:color="auto"/>
                    <w:bottom w:val="none" w:sz="0" w:space="0" w:color="auto"/>
                    <w:right w:val="none" w:sz="0" w:space="0" w:color="auto"/>
                  </w:divBdr>
                </w:div>
              </w:divsChild>
            </w:div>
            <w:div w:id="928081722">
              <w:marLeft w:val="0"/>
              <w:marRight w:val="0"/>
              <w:marTop w:val="0"/>
              <w:marBottom w:val="0"/>
              <w:divBdr>
                <w:top w:val="none" w:sz="0" w:space="0" w:color="auto"/>
                <w:left w:val="none" w:sz="0" w:space="0" w:color="auto"/>
                <w:bottom w:val="none" w:sz="0" w:space="0" w:color="auto"/>
                <w:right w:val="none" w:sz="0" w:space="0" w:color="auto"/>
              </w:divBdr>
              <w:divsChild>
                <w:div w:id="175047748">
                  <w:marLeft w:val="0"/>
                  <w:marRight w:val="0"/>
                  <w:marTop w:val="0"/>
                  <w:marBottom w:val="0"/>
                  <w:divBdr>
                    <w:top w:val="none" w:sz="0" w:space="0" w:color="auto"/>
                    <w:left w:val="none" w:sz="0" w:space="0" w:color="auto"/>
                    <w:bottom w:val="none" w:sz="0" w:space="0" w:color="auto"/>
                    <w:right w:val="none" w:sz="0" w:space="0" w:color="auto"/>
                  </w:divBdr>
                </w:div>
              </w:divsChild>
            </w:div>
            <w:div w:id="980621398">
              <w:marLeft w:val="0"/>
              <w:marRight w:val="0"/>
              <w:marTop w:val="0"/>
              <w:marBottom w:val="0"/>
              <w:divBdr>
                <w:top w:val="none" w:sz="0" w:space="0" w:color="auto"/>
                <w:left w:val="none" w:sz="0" w:space="0" w:color="auto"/>
                <w:bottom w:val="none" w:sz="0" w:space="0" w:color="auto"/>
                <w:right w:val="none" w:sz="0" w:space="0" w:color="auto"/>
              </w:divBdr>
              <w:divsChild>
                <w:div w:id="1831678491">
                  <w:marLeft w:val="0"/>
                  <w:marRight w:val="0"/>
                  <w:marTop w:val="0"/>
                  <w:marBottom w:val="0"/>
                  <w:divBdr>
                    <w:top w:val="none" w:sz="0" w:space="0" w:color="auto"/>
                    <w:left w:val="none" w:sz="0" w:space="0" w:color="auto"/>
                    <w:bottom w:val="none" w:sz="0" w:space="0" w:color="auto"/>
                    <w:right w:val="none" w:sz="0" w:space="0" w:color="auto"/>
                  </w:divBdr>
                </w:div>
              </w:divsChild>
            </w:div>
            <w:div w:id="1006253549">
              <w:marLeft w:val="0"/>
              <w:marRight w:val="0"/>
              <w:marTop w:val="0"/>
              <w:marBottom w:val="0"/>
              <w:divBdr>
                <w:top w:val="none" w:sz="0" w:space="0" w:color="auto"/>
                <w:left w:val="none" w:sz="0" w:space="0" w:color="auto"/>
                <w:bottom w:val="none" w:sz="0" w:space="0" w:color="auto"/>
                <w:right w:val="none" w:sz="0" w:space="0" w:color="auto"/>
              </w:divBdr>
              <w:divsChild>
                <w:div w:id="2017608733">
                  <w:marLeft w:val="0"/>
                  <w:marRight w:val="0"/>
                  <w:marTop w:val="0"/>
                  <w:marBottom w:val="0"/>
                  <w:divBdr>
                    <w:top w:val="none" w:sz="0" w:space="0" w:color="auto"/>
                    <w:left w:val="none" w:sz="0" w:space="0" w:color="auto"/>
                    <w:bottom w:val="none" w:sz="0" w:space="0" w:color="auto"/>
                    <w:right w:val="none" w:sz="0" w:space="0" w:color="auto"/>
                  </w:divBdr>
                </w:div>
              </w:divsChild>
            </w:div>
            <w:div w:id="1023360620">
              <w:marLeft w:val="0"/>
              <w:marRight w:val="0"/>
              <w:marTop w:val="0"/>
              <w:marBottom w:val="0"/>
              <w:divBdr>
                <w:top w:val="none" w:sz="0" w:space="0" w:color="auto"/>
                <w:left w:val="none" w:sz="0" w:space="0" w:color="auto"/>
                <w:bottom w:val="none" w:sz="0" w:space="0" w:color="auto"/>
                <w:right w:val="none" w:sz="0" w:space="0" w:color="auto"/>
              </w:divBdr>
              <w:divsChild>
                <w:div w:id="1584071245">
                  <w:marLeft w:val="0"/>
                  <w:marRight w:val="0"/>
                  <w:marTop w:val="0"/>
                  <w:marBottom w:val="0"/>
                  <w:divBdr>
                    <w:top w:val="none" w:sz="0" w:space="0" w:color="auto"/>
                    <w:left w:val="none" w:sz="0" w:space="0" w:color="auto"/>
                    <w:bottom w:val="none" w:sz="0" w:space="0" w:color="auto"/>
                    <w:right w:val="none" w:sz="0" w:space="0" w:color="auto"/>
                  </w:divBdr>
                </w:div>
              </w:divsChild>
            </w:div>
            <w:div w:id="1077701680">
              <w:marLeft w:val="0"/>
              <w:marRight w:val="0"/>
              <w:marTop w:val="0"/>
              <w:marBottom w:val="0"/>
              <w:divBdr>
                <w:top w:val="none" w:sz="0" w:space="0" w:color="auto"/>
                <w:left w:val="none" w:sz="0" w:space="0" w:color="auto"/>
                <w:bottom w:val="none" w:sz="0" w:space="0" w:color="auto"/>
                <w:right w:val="none" w:sz="0" w:space="0" w:color="auto"/>
              </w:divBdr>
              <w:divsChild>
                <w:div w:id="2087144885">
                  <w:marLeft w:val="0"/>
                  <w:marRight w:val="0"/>
                  <w:marTop w:val="0"/>
                  <w:marBottom w:val="0"/>
                  <w:divBdr>
                    <w:top w:val="none" w:sz="0" w:space="0" w:color="auto"/>
                    <w:left w:val="none" w:sz="0" w:space="0" w:color="auto"/>
                    <w:bottom w:val="none" w:sz="0" w:space="0" w:color="auto"/>
                    <w:right w:val="none" w:sz="0" w:space="0" w:color="auto"/>
                  </w:divBdr>
                </w:div>
              </w:divsChild>
            </w:div>
            <w:div w:id="1121726355">
              <w:marLeft w:val="0"/>
              <w:marRight w:val="0"/>
              <w:marTop w:val="0"/>
              <w:marBottom w:val="0"/>
              <w:divBdr>
                <w:top w:val="none" w:sz="0" w:space="0" w:color="auto"/>
                <w:left w:val="none" w:sz="0" w:space="0" w:color="auto"/>
                <w:bottom w:val="none" w:sz="0" w:space="0" w:color="auto"/>
                <w:right w:val="none" w:sz="0" w:space="0" w:color="auto"/>
              </w:divBdr>
              <w:divsChild>
                <w:div w:id="1266570398">
                  <w:marLeft w:val="0"/>
                  <w:marRight w:val="0"/>
                  <w:marTop w:val="0"/>
                  <w:marBottom w:val="0"/>
                  <w:divBdr>
                    <w:top w:val="none" w:sz="0" w:space="0" w:color="auto"/>
                    <w:left w:val="none" w:sz="0" w:space="0" w:color="auto"/>
                    <w:bottom w:val="none" w:sz="0" w:space="0" w:color="auto"/>
                    <w:right w:val="none" w:sz="0" w:space="0" w:color="auto"/>
                  </w:divBdr>
                </w:div>
              </w:divsChild>
            </w:div>
            <w:div w:id="1124155011">
              <w:marLeft w:val="0"/>
              <w:marRight w:val="0"/>
              <w:marTop w:val="0"/>
              <w:marBottom w:val="0"/>
              <w:divBdr>
                <w:top w:val="none" w:sz="0" w:space="0" w:color="auto"/>
                <w:left w:val="none" w:sz="0" w:space="0" w:color="auto"/>
                <w:bottom w:val="none" w:sz="0" w:space="0" w:color="auto"/>
                <w:right w:val="none" w:sz="0" w:space="0" w:color="auto"/>
              </w:divBdr>
              <w:divsChild>
                <w:div w:id="1461415992">
                  <w:marLeft w:val="0"/>
                  <w:marRight w:val="0"/>
                  <w:marTop w:val="0"/>
                  <w:marBottom w:val="0"/>
                  <w:divBdr>
                    <w:top w:val="none" w:sz="0" w:space="0" w:color="auto"/>
                    <w:left w:val="none" w:sz="0" w:space="0" w:color="auto"/>
                    <w:bottom w:val="none" w:sz="0" w:space="0" w:color="auto"/>
                    <w:right w:val="none" w:sz="0" w:space="0" w:color="auto"/>
                  </w:divBdr>
                </w:div>
              </w:divsChild>
            </w:div>
            <w:div w:id="1175415002">
              <w:marLeft w:val="0"/>
              <w:marRight w:val="0"/>
              <w:marTop w:val="0"/>
              <w:marBottom w:val="0"/>
              <w:divBdr>
                <w:top w:val="none" w:sz="0" w:space="0" w:color="auto"/>
                <w:left w:val="none" w:sz="0" w:space="0" w:color="auto"/>
                <w:bottom w:val="none" w:sz="0" w:space="0" w:color="auto"/>
                <w:right w:val="none" w:sz="0" w:space="0" w:color="auto"/>
              </w:divBdr>
              <w:divsChild>
                <w:div w:id="1307780564">
                  <w:marLeft w:val="0"/>
                  <w:marRight w:val="0"/>
                  <w:marTop w:val="0"/>
                  <w:marBottom w:val="0"/>
                  <w:divBdr>
                    <w:top w:val="none" w:sz="0" w:space="0" w:color="auto"/>
                    <w:left w:val="none" w:sz="0" w:space="0" w:color="auto"/>
                    <w:bottom w:val="none" w:sz="0" w:space="0" w:color="auto"/>
                    <w:right w:val="none" w:sz="0" w:space="0" w:color="auto"/>
                  </w:divBdr>
                </w:div>
              </w:divsChild>
            </w:div>
            <w:div w:id="1192063453">
              <w:marLeft w:val="0"/>
              <w:marRight w:val="0"/>
              <w:marTop w:val="0"/>
              <w:marBottom w:val="0"/>
              <w:divBdr>
                <w:top w:val="none" w:sz="0" w:space="0" w:color="auto"/>
                <w:left w:val="none" w:sz="0" w:space="0" w:color="auto"/>
                <w:bottom w:val="none" w:sz="0" w:space="0" w:color="auto"/>
                <w:right w:val="none" w:sz="0" w:space="0" w:color="auto"/>
              </w:divBdr>
              <w:divsChild>
                <w:div w:id="1323117313">
                  <w:marLeft w:val="0"/>
                  <w:marRight w:val="0"/>
                  <w:marTop w:val="0"/>
                  <w:marBottom w:val="0"/>
                  <w:divBdr>
                    <w:top w:val="none" w:sz="0" w:space="0" w:color="auto"/>
                    <w:left w:val="none" w:sz="0" w:space="0" w:color="auto"/>
                    <w:bottom w:val="none" w:sz="0" w:space="0" w:color="auto"/>
                    <w:right w:val="none" w:sz="0" w:space="0" w:color="auto"/>
                  </w:divBdr>
                </w:div>
              </w:divsChild>
            </w:div>
            <w:div w:id="1223904339">
              <w:marLeft w:val="0"/>
              <w:marRight w:val="0"/>
              <w:marTop w:val="0"/>
              <w:marBottom w:val="0"/>
              <w:divBdr>
                <w:top w:val="none" w:sz="0" w:space="0" w:color="auto"/>
                <w:left w:val="none" w:sz="0" w:space="0" w:color="auto"/>
                <w:bottom w:val="none" w:sz="0" w:space="0" w:color="auto"/>
                <w:right w:val="none" w:sz="0" w:space="0" w:color="auto"/>
              </w:divBdr>
              <w:divsChild>
                <w:div w:id="476915423">
                  <w:marLeft w:val="0"/>
                  <w:marRight w:val="0"/>
                  <w:marTop w:val="0"/>
                  <w:marBottom w:val="0"/>
                  <w:divBdr>
                    <w:top w:val="none" w:sz="0" w:space="0" w:color="auto"/>
                    <w:left w:val="none" w:sz="0" w:space="0" w:color="auto"/>
                    <w:bottom w:val="none" w:sz="0" w:space="0" w:color="auto"/>
                    <w:right w:val="none" w:sz="0" w:space="0" w:color="auto"/>
                  </w:divBdr>
                </w:div>
              </w:divsChild>
            </w:div>
            <w:div w:id="1269266535">
              <w:marLeft w:val="0"/>
              <w:marRight w:val="0"/>
              <w:marTop w:val="0"/>
              <w:marBottom w:val="0"/>
              <w:divBdr>
                <w:top w:val="none" w:sz="0" w:space="0" w:color="auto"/>
                <w:left w:val="none" w:sz="0" w:space="0" w:color="auto"/>
                <w:bottom w:val="none" w:sz="0" w:space="0" w:color="auto"/>
                <w:right w:val="none" w:sz="0" w:space="0" w:color="auto"/>
              </w:divBdr>
              <w:divsChild>
                <w:div w:id="974019449">
                  <w:marLeft w:val="0"/>
                  <w:marRight w:val="0"/>
                  <w:marTop w:val="0"/>
                  <w:marBottom w:val="0"/>
                  <w:divBdr>
                    <w:top w:val="none" w:sz="0" w:space="0" w:color="auto"/>
                    <w:left w:val="none" w:sz="0" w:space="0" w:color="auto"/>
                    <w:bottom w:val="none" w:sz="0" w:space="0" w:color="auto"/>
                    <w:right w:val="none" w:sz="0" w:space="0" w:color="auto"/>
                  </w:divBdr>
                </w:div>
              </w:divsChild>
            </w:div>
            <w:div w:id="1296641142">
              <w:marLeft w:val="0"/>
              <w:marRight w:val="0"/>
              <w:marTop w:val="0"/>
              <w:marBottom w:val="0"/>
              <w:divBdr>
                <w:top w:val="none" w:sz="0" w:space="0" w:color="auto"/>
                <w:left w:val="none" w:sz="0" w:space="0" w:color="auto"/>
                <w:bottom w:val="none" w:sz="0" w:space="0" w:color="auto"/>
                <w:right w:val="none" w:sz="0" w:space="0" w:color="auto"/>
              </w:divBdr>
              <w:divsChild>
                <w:div w:id="1821071315">
                  <w:marLeft w:val="0"/>
                  <w:marRight w:val="0"/>
                  <w:marTop w:val="0"/>
                  <w:marBottom w:val="0"/>
                  <w:divBdr>
                    <w:top w:val="none" w:sz="0" w:space="0" w:color="auto"/>
                    <w:left w:val="none" w:sz="0" w:space="0" w:color="auto"/>
                    <w:bottom w:val="none" w:sz="0" w:space="0" w:color="auto"/>
                    <w:right w:val="none" w:sz="0" w:space="0" w:color="auto"/>
                  </w:divBdr>
                </w:div>
              </w:divsChild>
            </w:div>
            <w:div w:id="1328901573">
              <w:marLeft w:val="0"/>
              <w:marRight w:val="0"/>
              <w:marTop w:val="0"/>
              <w:marBottom w:val="0"/>
              <w:divBdr>
                <w:top w:val="none" w:sz="0" w:space="0" w:color="auto"/>
                <w:left w:val="none" w:sz="0" w:space="0" w:color="auto"/>
                <w:bottom w:val="none" w:sz="0" w:space="0" w:color="auto"/>
                <w:right w:val="none" w:sz="0" w:space="0" w:color="auto"/>
              </w:divBdr>
              <w:divsChild>
                <w:div w:id="73552583">
                  <w:marLeft w:val="0"/>
                  <w:marRight w:val="0"/>
                  <w:marTop w:val="0"/>
                  <w:marBottom w:val="0"/>
                  <w:divBdr>
                    <w:top w:val="none" w:sz="0" w:space="0" w:color="auto"/>
                    <w:left w:val="none" w:sz="0" w:space="0" w:color="auto"/>
                    <w:bottom w:val="none" w:sz="0" w:space="0" w:color="auto"/>
                    <w:right w:val="none" w:sz="0" w:space="0" w:color="auto"/>
                  </w:divBdr>
                </w:div>
              </w:divsChild>
            </w:div>
            <w:div w:id="1352102732">
              <w:marLeft w:val="0"/>
              <w:marRight w:val="0"/>
              <w:marTop w:val="0"/>
              <w:marBottom w:val="0"/>
              <w:divBdr>
                <w:top w:val="none" w:sz="0" w:space="0" w:color="auto"/>
                <w:left w:val="none" w:sz="0" w:space="0" w:color="auto"/>
                <w:bottom w:val="none" w:sz="0" w:space="0" w:color="auto"/>
                <w:right w:val="none" w:sz="0" w:space="0" w:color="auto"/>
              </w:divBdr>
              <w:divsChild>
                <w:div w:id="356273276">
                  <w:marLeft w:val="0"/>
                  <w:marRight w:val="0"/>
                  <w:marTop w:val="0"/>
                  <w:marBottom w:val="0"/>
                  <w:divBdr>
                    <w:top w:val="none" w:sz="0" w:space="0" w:color="auto"/>
                    <w:left w:val="none" w:sz="0" w:space="0" w:color="auto"/>
                    <w:bottom w:val="none" w:sz="0" w:space="0" w:color="auto"/>
                    <w:right w:val="none" w:sz="0" w:space="0" w:color="auto"/>
                  </w:divBdr>
                </w:div>
              </w:divsChild>
            </w:div>
            <w:div w:id="1465928580">
              <w:marLeft w:val="0"/>
              <w:marRight w:val="0"/>
              <w:marTop w:val="0"/>
              <w:marBottom w:val="0"/>
              <w:divBdr>
                <w:top w:val="none" w:sz="0" w:space="0" w:color="auto"/>
                <w:left w:val="none" w:sz="0" w:space="0" w:color="auto"/>
                <w:bottom w:val="none" w:sz="0" w:space="0" w:color="auto"/>
                <w:right w:val="none" w:sz="0" w:space="0" w:color="auto"/>
              </w:divBdr>
              <w:divsChild>
                <w:div w:id="1310793639">
                  <w:marLeft w:val="0"/>
                  <w:marRight w:val="0"/>
                  <w:marTop w:val="0"/>
                  <w:marBottom w:val="0"/>
                  <w:divBdr>
                    <w:top w:val="none" w:sz="0" w:space="0" w:color="auto"/>
                    <w:left w:val="none" w:sz="0" w:space="0" w:color="auto"/>
                    <w:bottom w:val="none" w:sz="0" w:space="0" w:color="auto"/>
                    <w:right w:val="none" w:sz="0" w:space="0" w:color="auto"/>
                  </w:divBdr>
                </w:div>
              </w:divsChild>
            </w:div>
            <w:div w:id="1525050017">
              <w:marLeft w:val="0"/>
              <w:marRight w:val="0"/>
              <w:marTop w:val="0"/>
              <w:marBottom w:val="0"/>
              <w:divBdr>
                <w:top w:val="none" w:sz="0" w:space="0" w:color="auto"/>
                <w:left w:val="none" w:sz="0" w:space="0" w:color="auto"/>
                <w:bottom w:val="none" w:sz="0" w:space="0" w:color="auto"/>
                <w:right w:val="none" w:sz="0" w:space="0" w:color="auto"/>
              </w:divBdr>
              <w:divsChild>
                <w:div w:id="189924341">
                  <w:marLeft w:val="0"/>
                  <w:marRight w:val="0"/>
                  <w:marTop w:val="0"/>
                  <w:marBottom w:val="0"/>
                  <w:divBdr>
                    <w:top w:val="none" w:sz="0" w:space="0" w:color="auto"/>
                    <w:left w:val="none" w:sz="0" w:space="0" w:color="auto"/>
                    <w:bottom w:val="none" w:sz="0" w:space="0" w:color="auto"/>
                    <w:right w:val="none" w:sz="0" w:space="0" w:color="auto"/>
                  </w:divBdr>
                </w:div>
              </w:divsChild>
            </w:div>
            <w:div w:id="1652900398">
              <w:marLeft w:val="0"/>
              <w:marRight w:val="0"/>
              <w:marTop w:val="0"/>
              <w:marBottom w:val="0"/>
              <w:divBdr>
                <w:top w:val="none" w:sz="0" w:space="0" w:color="auto"/>
                <w:left w:val="none" w:sz="0" w:space="0" w:color="auto"/>
                <w:bottom w:val="none" w:sz="0" w:space="0" w:color="auto"/>
                <w:right w:val="none" w:sz="0" w:space="0" w:color="auto"/>
              </w:divBdr>
              <w:divsChild>
                <w:div w:id="559555012">
                  <w:marLeft w:val="0"/>
                  <w:marRight w:val="0"/>
                  <w:marTop w:val="0"/>
                  <w:marBottom w:val="0"/>
                  <w:divBdr>
                    <w:top w:val="none" w:sz="0" w:space="0" w:color="auto"/>
                    <w:left w:val="none" w:sz="0" w:space="0" w:color="auto"/>
                    <w:bottom w:val="none" w:sz="0" w:space="0" w:color="auto"/>
                    <w:right w:val="none" w:sz="0" w:space="0" w:color="auto"/>
                  </w:divBdr>
                </w:div>
              </w:divsChild>
            </w:div>
            <w:div w:id="1711759147">
              <w:marLeft w:val="0"/>
              <w:marRight w:val="0"/>
              <w:marTop w:val="0"/>
              <w:marBottom w:val="0"/>
              <w:divBdr>
                <w:top w:val="none" w:sz="0" w:space="0" w:color="auto"/>
                <w:left w:val="none" w:sz="0" w:space="0" w:color="auto"/>
                <w:bottom w:val="none" w:sz="0" w:space="0" w:color="auto"/>
                <w:right w:val="none" w:sz="0" w:space="0" w:color="auto"/>
              </w:divBdr>
              <w:divsChild>
                <w:div w:id="814957652">
                  <w:marLeft w:val="0"/>
                  <w:marRight w:val="0"/>
                  <w:marTop w:val="0"/>
                  <w:marBottom w:val="0"/>
                  <w:divBdr>
                    <w:top w:val="none" w:sz="0" w:space="0" w:color="auto"/>
                    <w:left w:val="none" w:sz="0" w:space="0" w:color="auto"/>
                    <w:bottom w:val="none" w:sz="0" w:space="0" w:color="auto"/>
                    <w:right w:val="none" w:sz="0" w:space="0" w:color="auto"/>
                  </w:divBdr>
                </w:div>
              </w:divsChild>
            </w:div>
            <w:div w:id="1757553152">
              <w:marLeft w:val="0"/>
              <w:marRight w:val="0"/>
              <w:marTop w:val="0"/>
              <w:marBottom w:val="0"/>
              <w:divBdr>
                <w:top w:val="none" w:sz="0" w:space="0" w:color="auto"/>
                <w:left w:val="none" w:sz="0" w:space="0" w:color="auto"/>
                <w:bottom w:val="none" w:sz="0" w:space="0" w:color="auto"/>
                <w:right w:val="none" w:sz="0" w:space="0" w:color="auto"/>
              </w:divBdr>
              <w:divsChild>
                <w:div w:id="729617762">
                  <w:marLeft w:val="0"/>
                  <w:marRight w:val="0"/>
                  <w:marTop w:val="0"/>
                  <w:marBottom w:val="0"/>
                  <w:divBdr>
                    <w:top w:val="none" w:sz="0" w:space="0" w:color="auto"/>
                    <w:left w:val="none" w:sz="0" w:space="0" w:color="auto"/>
                    <w:bottom w:val="none" w:sz="0" w:space="0" w:color="auto"/>
                    <w:right w:val="none" w:sz="0" w:space="0" w:color="auto"/>
                  </w:divBdr>
                </w:div>
              </w:divsChild>
            </w:div>
            <w:div w:id="1766724402">
              <w:marLeft w:val="0"/>
              <w:marRight w:val="0"/>
              <w:marTop w:val="0"/>
              <w:marBottom w:val="0"/>
              <w:divBdr>
                <w:top w:val="none" w:sz="0" w:space="0" w:color="auto"/>
                <w:left w:val="none" w:sz="0" w:space="0" w:color="auto"/>
                <w:bottom w:val="none" w:sz="0" w:space="0" w:color="auto"/>
                <w:right w:val="none" w:sz="0" w:space="0" w:color="auto"/>
              </w:divBdr>
              <w:divsChild>
                <w:div w:id="166679824">
                  <w:marLeft w:val="0"/>
                  <w:marRight w:val="0"/>
                  <w:marTop w:val="0"/>
                  <w:marBottom w:val="0"/>
                  <w:divBdr>
                    <w:top w:val="none" w:sz="0" w:space="0" w:color="auto"/>
                    <w:left w:val="none" w:sz="0" w:space="0" w:color="auto"/>
                    <w:bottom w:val="none" w:sz="0" w:space="0" w:color="auto"/>
                    <w:right w:val="none" w:sz="0" w:space="0" w:color="auto"/>
                  </w:divBdr>
                </w:div>
              </w:divsChild>
            </w:div>
            <w:div w:id="1931310384">
              <w:marLeft w:val="0"/>
              <w:marRight w:val="0"/>
              <w:marTop w:val="0"/>
              <w:marBottom w:val="0"/>
              <w:divBdr>
                <w:top w:val="none" w:sz="0" w:space="0" w:color="auto"/>
                <w:left w:val="none" w:sz="0" w:space="0" w:color="auto"/>
                <w:bottom w:val="none" w:sz="0" w:space="0" w:color="auto"/>
                <w:right w:val="none" w:sz="0" w:space="0" w:color="auto"/>
              </w:divBdr>
              <w:divsChild>
                <w:div w:id="1881435937">
                  <w:marLeft w:val="0"/>
                  <w:marRight w:val="0"/>
                  <w:marTop w:val="0"/>
                  <w:marBottom w:val="0"/>
                  <w:divBdr>
                    <w:top w:val="none" w:sz="0" w:space="0" w:color="auto"/>
                    <w:left w:val="none" w:sz="0" w:space="0" w:color="auto"/>
                    <w:bottom w:val="none" w:sz="0" w:space="0" w:color="auto"/>
                    <w:right w:val="none" w:sz="0" w:space="0" w:color="auto"/>
                  </w:divBdr>
                </w:div>
              </w:divsChild>
            </w:div>
            <w:div w:id="1938635217">
              <w:marLeft w:val="0"/>
              <w:marRight w:val="0"/>
              <w:marTop w:val="0"/>
              <w:marBottom w:val="0"/>
              <w:divBdr>
                <w:top w:val="none" w:sz="0" w:space="0" w:color="auto"/>
                <w:left w:val="none" w:sz="0" w:space="0" w:color="auto"/>
                <w:bottom w:val="none" w:sz="0" w:space="0" w:color="auto"/>
                <w:right w:val="none" w:sz="0" w:space="0" w:color="auto"/>
              </w:divBdr>
              <w:divsChild>
                <w:div w:id="1473979848">
                  <w:marLeft w:val="0"/>
                  <w:marRight w:val="0"/>
                  <w:marTop w:val="0"/>
                  <w:marBottom w:val="0"/>
                  <w:divBdr>
                    <w:top w:val="none" w:sz="0" w:space="0" w:color="auto"/>
                    <w:left w:val="none" w:sz="0" w:space="0" w:color="auto"/>
                    <w:bottom w:val="none" w:sz="0" w:space="0" w:color="auto"/>
                    <w:right w:val="none" w:sz="0" w:space="0" w:color="auto"/>
                  </w:divBdr>
                </w:div>
              </w:divsChild>
            </w:div>
            <w:div w:id="1956130516">
              <w:marLeft w:val="0"/>
              <w:marRight w:val="0"/>
              <w:marTop w:val="0"/>
              <w:marBottom w:val="0"/>
              <w:divBdr>
                <w:top w:val="none" w:sz="0" w:space="0" w:color="auto"/>
                <w:left w:val="none" w:sz="0" w:space="0" w:color="auto"/>
                <w:bottom w:val="none" w:sz="0" w:space="0" w:color="auto"/>
                <w:right w:val="none" w:sz="0" w:space="0" w:color="auto"/>
              </w:divBdr>
              <w:divsChild>
                <w:div w:id="1128009335">
                  <w:marLeft w:val="0"/>
                  <w:marRight w:val="0"/>
                  <w:marTop w:val="0"/>
                  <w:marBottom w:val="0"/>
                  <w:divBdr>
                    <w:top w:val="none" w:sz="0" w:space="0" w:color="auto"/>
                    <w:left w:val="none" w:sz="0" w:space="0" w:color="auto"/>
                    <w:bottom w:val="none" w:sz="0" w:space="0" w:color="auto"/>
                    <w:right w:val="none" w:sz="0" w:space="0" w:color="auto"/>
                  </w:divBdr>
                </w:div>
              </w:divsChild>
            </w:div>
            <w:div w:id="1962760841">
              <w:marLeft w:val="0"/>
              <w:marRight w:val="0"/>
              <w:marTop w:val="0"/>
              <w:marBottom w:val="0"/>
              <w:divBdr>
                <w:top w:val="none" w:sz="0" w:space="0" w:color="auto"/>
                <w:left w:val="none" w:sz="0" w:space="0" w:color="auto"/>
                <w:bottom w:val="none" w:sz="0" w:space="0" w:color="auto"/>
                <w:right w:val="none" w:sz="0" w:space="0" w:color="auto"/>
              </w:divBdr>
              <w:divsChild>
                <w:div w:id="931233123">
                  <w:marLeft w:val="0"/>
                  <w:marRight w:val="0"/>
                  <w:marTop w:val="0"/>
                  <w:marBottom w:val="0"/>
                  <w:divBdr>
                    <w:top w:val="none" w:sz="0" w:space="0" w:color="auto"/>
                    <w:left w:val="none" w:sz="0" w:space="0" w:color="auto"/>
                    <w:bottom w:val="none" w:sz="0" w:space="0" w:color="auto"/>
                    <w:right w:val="none" w:sz="0" w:space="0" w:color="auto"/>
                  </w:divBdr>
                </w:div>
              </w:divsChild>
            </w:div>
            <w:div w:id="1973241437">
              <w:marLeft w:val="0"/>
              <w:marRight w:val="0"/>
              <w:marTop w:val="0"/>
              <w:marBottom w:val="0"/>
              <w:divBdr>
                <w:top w:val="none" w:sz="0" w:space="0" w:color="auto"/>
                <w:left w:val="none" w:sz="0" w:space="0" w:color="auto"/>
                <w:bottom w:val="none" w:sz="0" w:space="0" w:color="auto"/>
                <w:right w:val="none" w:sz="0" w:space="0" w:color="auto"/>
              </w:divBdr>
              <w:divsChild>
                <w:div w:id="735664361">
                  <w:marLeft w:val="0"/>
                  <w:marRight w:val="0"/>
                  <w:marTop w:val="0"/>
                  <w:marBottom w:val="0"/>
                  <w:divBdr>
                    <w:top w:val="none" w:sz="0" w:space="0" w:color="auto"/>
                    <w:left w:val="none" w:sz="0" w:space="0" w:color="auto"/>
                    <w:bottom w:val="none" w:sz="0" w:space="0" w:color="auto"/>
                    <w:right w:val="none" w:sz="0" w:space="0" w:color="auto"/>
                  </w:divBdr>
                </w:div>
              </w:divsChild>
            </w:div>
            <w:div w:id="2049598616">
              <w:marLeft w:val="0"/>
              <w:marRight w:val="0"/>
              <w:marTop w:val="0"/>
              <w:marBottom w:val="0"/>
              <w:divBdr>
                <w:top w:val="none" w:sz="0" w:space="0" w:color="auto"/>
                <w:left w:val="none" w:sz="0" w:space="0" w:color="auto"/>
                <w:bottom w:val="none" w:sz="0" w:space="0" w:color="auto"/>
                <w:right w:val="none" w:sz="0" w:space="0" w:color="auto"/>
              </w:divBdr>
              <w:divsChild>
                <w:div w:id="1405181952">
                  <w:marLeft w:val="0"/>
                  <w:marRight w:val="0"/>
                  <w:marTop w:val="0"/>
                  <w:marBottom w:val="0"/>
                  <w:divBdr>
                    <w:top w:val="none" w:sz="0" w:space="0" w:color="auto"/>
                    <w:left w:val="none" w:sz="0" w:space="0" w:color="auto"/>
                    <w:bottom w:val="none" w:sz="0" w:space="0" w:color="auto"/>
                    <w:right w:val="none" w:sz="0" w:space="0" w:color="auto"/>
                  </w:divBdr>
                </w:div>
              </w:divsChild>
            </w:div>
            <w:div w:id="2060398958">
              <w:marLeft w:val="0"/>
              <w:marRight w:val="0"/>
              <w:marTop w:val="0"/>
              <w:marBottom w:val="0"/>
              <w:divBdr>
                <w:top w:val="none" w:sz="0" w:space="0" w:color="auto"/>
                <w:left w:val="none" w:sz="0" w:space="0" w:color="auto"/>
                <w:bottom w:val="none" w:sz="0" w:space="0" w:color="auto"/>
                <w:right w:val="none" w:sz="0" w:space="0" w:color="auto"/>
              </w:divBdr>
              <w:divsChild>
                <w:div w:id="1587425240">
                  <w:marLeft w:val="0"/>
                  <w:marRight w:val="0"/>
                  <w:marTop w:val="0"/>
                  <w:marBottom w:val="0"/>
                  <w:divBdr>
                    <w:top w:val="none" w:sz="0" w:space="0" w:color="auto"/>
                    <w:left w:val="none" w:sz="0" w:space="0" w:color="auto"/>
                    <w:bottom w:val="none" w:sz="0" w:space="0" w:color="auto"/>
                    <w:right w:val="none" w:sz="0" w:space="0" w:color="auto"/>
                  </w:divBdr>
                </w:div>
              </w:divsChild>
            </w:div>
            <w:div w:id="2066026059">
              <w:marLeft w:val="0"/>
              <w:marRight w:val="0"/>
              <w:marTop w:val="0"/>
              <w:marBottom w:val="0"/>
              <w:divBdr>
                <w:top w:val="none" w:sz="0" w:space="0" w:color="auto"/>
                <w:left w:val="none" w:sz="0" w:space="0" w:color="auto"/>
                <w:bottom w:val="none" w:sz="0" w:space="0" w:color="auto"/>
                <w:right w:val="none" w:sz="0" w:space="0" w:color="auto"/>
              </w:divBdr>
              <w:divsChild>
                <w:div w:id="779450977">
                  <w:marLeft w:val="0"/>
                  <w:marRight w:val="0"/>
                  <w:marTop w:val="0"/>
                  <w:marBottom w:val="0"/>
                  <w:divBdr>
                    <w:top w:val="none" w:sz="0" w:space="0" w:color="auto"/>
                    <w:left w:val="none" w:sz="0" w:space="0" w:color="auto"/>
                    <w:bottom w:val="none" w:sz="0" w:space="0" w:color="auto"/>
                    <w:right w:val="none" w:sz="0" w:space="0" w:color="auto"/>
                  </w:divBdr>
                </w:div>
              </w:divsChild>
            </w:div>
            <w:div w:id="2087147725">
              <w:marLeft w:val="0"/>
              <w:marRight w:val="0"/>
              <w:marTop w:val="0"/>
              <w:marBottom w:val="0"/>
              <w:divBdr>
                <w:top w:val="none" w:sz="0" w:space="0" w:color="auto"/>
                <w:left w:val="none" w:sz="0" w:space="0" w:color="auto"/>
                <w:bottom w:val="none" w:sz="0" w:space="0" w:color="auto"/>
                <w:right w:val="none" w:sz="0" w:space="0" w:color="auto"/>
              </w:divBdr>
              <w:divsChild>
                <w:div w:id="116817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787526">
      <w:bodyDiv w:val="1"/>
      <w:marLeft w:val="0"/>
      <w:marRight w:val="0"/>
      <w:marTop w:val="0"/>
      <w:marBottom w:val="0"/>
      <w:divBdr>
        <w:top w:val="none" w:sz="0" w:space="0" w:color="auto"/>
        <w:left w:val="none" w:sz="0" w:space="0" w:color="auto"/>
        <w:bottom w:val="none" w:sz="0" w:space="0" w:color="auto"/>
        <w:right w:val="none" w:sz="0" w:space="0" w:color="auto"/>
      </w:divBdr>
      <w:divsChild>
        <w:div w:id="595133801">
          <w:marLeft w:val="0"/>
          <w:marRight w:val="0"/>
          <w:marTop w:val="0"/>
          <w:marBottom w:val="0"/>
          <w:divBdr>
            <w:top w:val="none" w:sz="0" w:space="0" w:color="auto"/>
            <w:left w:val="none" w:sz="0" w:space="0" w:color="auto"/>
            <w:bottom w:val="none" w:sz="0" w:space="0" w:color="auto"/>
            <w:right w:val="none" w:sz="0" w:space="0" w:color="auto"/>
          </w:divBdr>
        </w:div>
      </w:divsChild>
    </w:div>
    <w:div w:id="1876890125">
      <w:bodyDiv w:val="1"/>
      <w:marLeft w:val="0"/>
      <w:marRight w:val="0"/>
      <w:marTop w:val="0"/>
      <w:marBottom w:val="0"/>
      <w:divBdr>
        <w:top w:val="none" w:sz="0" w:space="0" w:color="auto"/>
        <w:left w:val="none" w:sz="0" w:space="0" w:color="auto"/>
        <w:bottom w:val="none" w:sz="0" w:space="0" w:color="auto"/>
        <w:right w:val="none" w:sz="0" w:space="0" w:color="auto"/>
      </w:divBdr>
      <w:divsChild>
        <w:div w:id="1887178469">
          <w:marLeft w:val="547"/>
          <w:marRight w:val="0"/>
          <w:marTop w:val="0"/>
          <w:marBottom w:val="0"/>
          <w:divBdr>
            <w:top w:val="none" w:sz="0" w:space="0" w:color="auto"/>
            <w:left w:val="none" w:sz="0" w:space="0" w:color="auto"/>
            <w:bottom w:val="none" w:sz="0" w:space="0" w:color="auto"/>
            <w:right w:val="none" w:sz="0" w:space="0" w:color="auto"/>
          </w:divBdr>
        </w:div>
        <w:div w:id="1951693343">
          <w:marLeft w:val="547"/>
          <w:marRight w:val="0"/>
          <w:marTop w:val="0"/>
          <w:marBottom w:val="0"/>
          <w:divBdr>
            <w:top w:val="none" w:sz="0" w:space="0" w:color="auto"/>
            <w:left w:val="none" w:sz="0" w:space="0" w:color="auto"/>
            <w:bottom w:val="none" w:sz="0" w:space="0" w:color="auto"/>
            <w:right w:val="none" w:sz="0" w:space="0" w:color="auto"/>
          </w:divBdr>
        </w:div>
        <w:div w:id="2104182945">
          <w:marLeft w:val="547"/>
          <w:marRight w:val="0"/>
          <w:marTop w:val="0"/>
          <w:marBottom w:val="0"/>
          <w:divBdr>
            <w:top w:val="none" w:sz="0" w:space="0" w:color="auto"/>
            <w:left w:val="none" w:sz="0" w:space="0" w:color="auto"/>
            <w:bottom w:val="none" w:sz="0" w:space="0" w:color="auto"/>
            <w:right w:val="none" w:sz="0" w:space="0" w:color="auto"/>
          </w:divBdr>
        </w:div>
      </w:divsChild>
    </w:div>
    <w:div w:id="1877695548">
      <w:bodyDiv w:val="1"/>
      <w:marLeft w:val="0"/>
      <w:marRight w:val="0"/>
      <w:marTop w:val="0"/>
      <w:marBottom w:val="0"/>
      <w:divBdr>
        <w:top w:val="none" w:sz="0" w:space="0" w:color="auto"/>
        <w:left w:val="none" w:sz="0" w:space="0" w:color="auto"/>
        <w:bottom w:val="none" w:sz="0" w:space="0" w:color="auto"/>
        <w:right w:val="none" w:sz="0" w:space="0" w:color="auto"/>
      </w:divBdr>
    </w:div>
    <w:div w:id="1925603500">
      <w:bodyDiv w:val="1"/>
      <w:marLeft w:val="0"/>
      <w:marRight w:val="0"/>
      <w:marTop w:val="0"/>
      <w:marBottom w:val="0"/>
      <w:divBdr>
        <w:top w:val="none" w:sz="0" w:space="0" w:color="auto"/>
        <w:left w:val="none" w:sz="0" w:space="0" w:color="auto"/>
        <w:bottom w:val="none" w:sz="0" w:space="0" w:color="auto"/>
        <w:right w:val="none" w:sz="0" w:space="0" w:color="auto"/>
      </w:divBdr>
    </w:div>
    <w:div w:id="1957713501">
      <w:bodyDiv w:val="1"/>
      <w:marLeft w:val="0"/>
      <w:marRight w:val="0"/>
      <w:marTop w:val="0"/>
      <w:marBottom w:val="0"/>
      <w:divBdr>
        <w:top w:val="none" w:sz="0" w:space="0" w:color="auto"/>
        <w:left w:val="none" w:sz="0" w:space="0" w:color="auto"/>
        <w:bottom w:val="none" w:sz="0" w:space="0" w:color="auto"/>
        <w:right w:val="none" w:sz="0" w:space="0" w:color="auto"/>
      </w:divBdr>
      <w:divsChild>
        <w:div w:id="1411854612">
          <w:marLeft w:val="446"/>
          <w:marRight w:val="0"/>
          <w:marTop w:val="120"/>
          <w:marBottom w:val="0"/>
          <w:divBdr>
            <w:top w:val="none" w:sz="0" w:space="0" w:color="auto"/>
            <w:left w:val="none" w:sz="0" w:space="0" w:color="auto"/>
            <w:bottom w:val="none" w:sz="0" w:space="0" w:color="auto"/>
            <w:right w:val="none" w:sz="0" w:space="0" w:color="auto"/>
          </w:divBdr>
        </w:div>
      </w:divsChild>
    </w:div>
    <w:div w:id="1987540130">
      <w:bodyDiv w:val="1"/>
      <w:marLeft w:val="0"/>
      <w:marRight w:val="0"/>
      <w:marTop w:val="0"/>
      <w:marBottom w:val="0"/>
      <w:divBdr>
        <w:top w:val="none" w:sz="0" w:space="0" w:color="auto"/>
        <w:left w:val="none" w:sz="0" w:space="0" w:color="auto"/>
        <w:bottom w:val="none" w:sz="0" w:space="0" w:color="auto"/>
        <w:right w:val="none" w:sz="0" w:space="0" w:color="auto"/>
      </w:divBdr>
      <w:divsChild>
        <w:div w:id="239871939">
          <w:marLeft w:val="1166"/>
          <w:marRight w:val="0"/>
          <w:marTop w:val="100"/>
          <w:marBottom w:val="0"/>
          <w:divBdr>
            <w:top w:val="none" w:sz="0" w:space="0" w:color="auto"/>
            <w:left w:val="none" w:sz="0" w:space="0" w:color="auto"/>
            <w:bottom w:val="none" w:sz="0" w:space="0" w:color="auto"/>
            <w:right w:val="none" w:sz="0" w:space="0" w:color="auto"/>
          </w:divBdr>
        </w:div>
        <w:div w:id="1384862733">
          <w:marLeft w:val="907"/>
          <w:marRight w:val="0"/>
          <w:marTop w:val="100"/>
          <w:marBottom w:val="0"/>
          <w:divBdr>
            <w:top w:val="none" w:sz="0" w:space="0" w:color="auto"/>
            <w:left w:val="none" w:sz="0" w:space="0" w:color="auto"/>
            <w:bottom w:val="none" w:sz="0" w:space="0" w:color="auto"/>
            <w:right w:val="none" w:sz="0" w:space="0" w:color="auto"/>
          </w:divBdr>
        </w:div>
        <w:div w:id="1403798100">
          <w:marLeft w:val="907"/>
          <w:marRight w:val="0"/>
          <w:marTop w:val="100"/>
          <w:marBottom w:val="0"/>
          <w:divBdr>
            <w:top w:val="none" w:sz="0" w:space="0" w:color="auto"/>
            <w:left w:val="none" w:sz="0" w:space="0" w:color="auto"/>
            <w:bottom w:val="none" w:sz="0" w:space="0" w:color="auto"/>
            <w:right w:val="none" w:sz="0" w:space="0" w:color="auto"/>
          </w:divBdr>
        </w:div>
        <w:div w:id="1820801634">
          <w:marLeft w:val="907"/>
          <w:marRight w:val="0"/>
          <w:marTop w:val="100"/>
          <w:marBottom w:val="0"/>
          <w:divBdr>
            <w:top w:val="none" w:sz="0" w:space="0" w:color="auto"/>
            <w:left w:val="none" w:sz="0" w:space="0" w:color="auto"/>
            <w:bottom w:val="none" w:sz="0" w:space="0" w:color="auto"/>
            <w:right w:val="none" w:sz="0" w:space="0" w:color="auto"/>
          </w:divBdr>
        </w:div>
      </w:divsChild>
    </w:div>
    <w:div w:id="2030376241">
      <w:bodyDiv w:val="1"/>
      <w:marLeft w:val="0"/>
      <w:marRight w:val="0"/>
      <w:marTop w:val="0"/>
      <w:marBottom w:val="0"/>
      <w:divBdr>
        <w:top w:val="none" w:sz="0" w:space="0" w:color="auto"/>
        <w:left w:val="none" w:sz="0" w:space="0" w:color="auto"/>
        <w:bottom w:val="none" w:sz="0" w:space="0" w:color="auto"/>
        <w:right w:val="none" w:sz="0" w:space="0" w:color="auto"/>
      </w:divBdr>
    </w:div>
    <w:div w:id="2076201944">
      <w:bodyDiv w:val="1"/>
      <w:marLeft w:val="0"/>
      <w:marRight w:val="0"/>
      <w:marTop w:val="0"/>
      <w:marBottom w:val="0"/>
      <w:divBdr>
        <w:top w:val="none" w:sz="0" w:space="0" w:color="auto"/>
        <w:left w:val="none" w:sz="0" w:space="0" w:color="auto"/>
        <w:bottom w:val="none" w:sz="0" w:space="0" w:color="auto"/>
        <w:right w:val="none" w:sz="0" w:space="0" w:color="auto"/>
      </w:divBdr>
      <w:divsChild>
        <w:div w:id="9939902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GeorgiaAccess.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eorgiaAccess.gov" TargetMode="External"/><Relationship Id="rId5" Type="http://schemas.openxmlformats.org/officeDocument/2006/relationships/numbering" Target="numbering.xml"/><Relationship Id="rId15" Type="http://schemas.openxmlformats.org/officeDocument/2006/relationships/header" Target="header1.xm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lanmanagement@georgiaaccess.ga.gov"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federalregister.gov/d/2016-30433/p-227"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2259a9c-ece9-4c02-8b6e-8b6ffe41bba1">
      <UserInfo>
        <DisplayName>Kadu, Vedant</DisplayName>
        <AccountId>172</AccountId>
        <AccountType/>
      </UserInfo>
      <UserInfo>
        <DisplayName>SharingLinks.4e93cbf5-554d-46d7-88b6-4a59946f54bf.Flexible.ba7967dc-04ed-40f2-a45e-09f1521c3a8d</DisplayName>
        <AccountId>120</AccountId>
        <AccountType/>
      </UserInfo>
      <UserInfo>
        <DisplayName>Bollen, Alaina</DisplayName>
        <AccountId>45</AccountId>
        <AccountType/>
      </UserInfo>
      <UserInfo>
        <DisplayName>Moore, Brendan</DisplayName>
        <AccountId>12</AccountId>
        <AccountType/>
      </UserInfo>
      <UserInfo>
        <DisplayName>Huizenga, Grant</DisplayName>
        <AccountId>100</AccountId>
        <AccountType/>
      </UserInfo>
      <UserInfo>
        <DisplayName>Tapp, Jack Edward</DisplayName>
        <AccountId>36</AccountId>
        <AccountType/>
      </UserInfo>
    </SharedWithUsers>
    <TaxCatchAll xmlns="a2259a9c-ece9-4c02-8b6e-8b6ffe41bba1" xsi:nil="true"/>
    <lcf76f155ced4ddcb4097134ff3c332f xmlns="acc2c165-593d-4a4b-84c5-c960b35494c6">
      <Terms xmlns="http://schemas.microsoft.com/office/infopath/2007/PartnerControls"/>
    </lcf76f155ced4ddcb4097134ff3c332f>
    <Notes xmlns="acc2c165-593d-4a4b-84c5-c960b35494c6" xsi:nil="true"/>
    <_ip_UnifiedCompliancePolicyUIAction xmlns="http://schemas.microsoft.com/sharepoint/v3" xsi:nil="true"/>
    <_ip_UnifiedCompliancePolicyProperties xmlns="http://schemas.microsoft.com/sharepoint/v3" xsi:nil="true"/>
    <Classification xmlns="acc2c165-593d-4a4b-84c5-c960b35494c6">Time Off</Classifica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D7045E404EE04BBB863D4C65968EE5" ma:contentTypeVersion="20" ma:contentTypeDescription="Create a new document." ma:contentTypeScope="" ma:versionID="d3f86cdb8e8ba53f3854354f440f7592">
  <xsd:schema xmlns:xsd="http://www.w3.org/2001/XMLSchema" xmlns:xs="http://www.w3.org/2001/XMLSchema" xmlns:p="http://schemas.microsoft.com/office/2006/metadata/properties" xmlns:ns1="http://schemas.microsoft.com/sharepoint/v3" xmlns:ns2="a2259a9c-ece9-4c02-8b6e-8b6ffe41bba1" xmlns:ns3="acc2c165-593d-4a4b-84c5-c960b35494c6" targetNamespace="http://schemas.microsoft.com/office/2006/metadata/properties" ma:root="true" ma:fieldsID="3ff52f24857cf181cf5e2c0977634cc1" ns1:_="" ns2:_="" ns3:_="">
    <xsd:import namespace="http://schemas.microsoft.com/sharepoint/v3"/>
    <xsd:import namespace="a2259a9c-ece9-4c02-8b6e-8b6ffe41bba1"/>
    <xsd:import namespace="acc2c165-593d-4a4b-84c5-c960b35494c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LengthInSeconds" minOccurs="0"/>
                <xsd:element ref="ns3:MediaServiceSearchProperties" minOccurs="0"/>
                <xsd:element ref="ns3:Notes" minOccurs="0"/>
                <xsd:element ref="ns1:_ip_UnifiedCompliancePolicyProperties" minOccurs="0"/>
                <xsd:element ref="ns1:_ip_UnifiedCompliancePolicyUIAction" minOccurs="0"/>
                <xsd:element ref="ns3:MediaServiceBillingMetadata" minOccurs="0"/>
                <xsd:element ref="ns3: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259a9c-ece9-4c02-8b6e-8b6ffe41bba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36d307b3-ad23-42f4-ba6e-5021b17a0c1d}" ma:internalName="TaxCatchAll" ma:showField="CatchAllData" ma:web="a2259a9c-ece9-4c02-8b6e-8b6ffe41bba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cc2c165-593d-4a4b-84c5-c960b35494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ff1cb65-f299-48b0-bb02-caa7638a6904"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otes" ma:index="23" nillable="true" ma:displayName="Notes" ma:description="Notes or commentary on the document" ma:format="Dropdown" ma:internalName="Notes">
      <xsd:simpleType>
        <xsd:restriction base="dms:Note">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Classification" ma:index="27" nillable="true" ma:displayName="Classification" ma:default="Time Off" ma:format="Dropdown" ma:internalName="Classification">
      <xsd:simpleType>
        <xsd:restriction base="dms:Choice">
          <xsd:enumeration value="Time Off"/>
          <xsd:enumeration value="Work From Home"/>
          <xsd:enumeration value="Away for Appointments"/>
          <xsd:enumeration value="Company Holiday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B980B-B81B-42F5-8093-94A75177EFD9}">
  <ds:schemaRefs>
    <ds:schemaRef ds:uri="http://schemas.microsoft.com/office/2006/metadata/properties"/>
    <ds:schemaRef ds:uri="http://schemas.microsoft.com/sharepoint/v3"/>
    <ds:schemaRef ds:uri="http://schemas.openxmlformats.org/package/2006/metadata/core-properties"/>
    <ds:schemaRef ds:uri="http://schemas.microsoft.com/office/2006/documentManagement/types"/>
    <ds:schemaRef ds:uri="http://purl.org/dc/terms/"/>
    <ds:schemaRef ds:uri="acc2c165-593d-4a4b-84c5-c960b35494c6"/>
    <ds:schemaRef ds:uri="http://purl.org/dc/elements/1.1/"/>
    <ds:schemaRef ds:uri="http://www.w3.org/XML/1998/namespace"/>
    <ds:schemaRef ds:uri="http://schemas.microsoft.com/office/infopath/2007/PartnerControls"/>
    <ds:schemaRef ds:uri="a2259a9c-ece9-4c02-8b6e-8b6ffe41bba1"/>
    <ds:schemaRef ds:uri="http://purl.org/dc/dcmitype/"/>
  </ds:schemaRefs>
</ds:datastoreItem>
</file>

<file path=customXml/itemProps2.xml><?xml version="1.0" encoding="utf-8"?>
<ds:datastoreItem xmlns:ds="http://schemas.openxmlformats.org/officeDocument/2006/customXml" ds:itemID="{D143029F-7A44-46B4-A6A0-9B61E5943F55}">
  <ds:schemaRefs>
    <ds:schemaRef ds:uri="http://schemas.microsoft.com/sharepoint/v3/contenttype/forms"/>
  </ds:schemaRefs>
</ds:datastoreItem>
</file>

<file path=customXml/itemProps3.xml><?xml version="1.0" encoding="utf-8"?>
<ds:datastoreItem xmlns:ds="http://schemas.openxmlformats.org/officeDocument/2006/customXml" ds:itemID="{C72D733A-CEE7-49AF-AC87-796D84CC14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259a9c-ece9-4c02-8b6e-8b6ffe41bba1"/>
    <ds:schemaRef ds:uri="acc2c165-593d-4a4b-84c5-c960b35494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2E9DCF-0D8B-47E4-9AFC-8C5732D70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13242</Words>
  <Characters>75481</Characters>
  <Application>Microsoft Office Word</Application>
  <DocSecurity>0</DocSecurity>
  <Lines>629</Lines>
  <Paragraphs>177</Paragraphs>
  <ScaleCrop>false</ScaleCrop>
  <Company/>
  <LinksUpToDate>false</LinksUpToDate>
  <CharactersWithSpaces>88546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Lupo, John</dc:creator>
  <cp:keywords/>
  <dc:description/>
  <cp:lastModifiedBy>Roxanne Woodbury</cp:lastModifiedBy>
  <cp:revision>2</cp:revision>
  <cp:lastPrinted>2025-10-14T13:31:00Z</cp:lastPrinted>
  <dcterms:created xsi:type="dcterms:W3CDTF">2025-12-08T16:46:00Z</dcterms:created>
  <dcterms:modified xsi:type="dcterms:W3CDTF">2025-12-08T16:46:00Z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2022-04-11T16:51:53Z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0f89bce8-ae8f-4bbe-9305-ad8c1d6345a3</vt:lpwstr>
  </property>
  <property fmtid="{D5CDD505-2E9C-101B-9397-08002B2CF9AE}" pid="8" name="MSIP_Label_ea60d57e-af5b-4752-ac57-3e4f28ca11dc_ContentBits">
    <vt:lpwstr>0</vt:lpwstr>
  </property>
  <property fmtid="{D5CDD505-2E9C-101B-9397-08002B2CF9AE}" pid="9" name="ContentTypeId">
    <vt:lpwstr>0x010100A5D7045E404EE04BBB863D4C65968EE5</vt:lpwstr>
  </property>
  <property fmtid="{D5CDD505-2E9C-101B-9397-08002B2CF9AE}" pid="10" name="MediaServiceImageTags">
    <vt:lpwstr/>
  </property>
  <property fmtid="{D5CDD505-2E9C-101B-9397-08002B2CF9AE}" pid="11" name="MSIP_Label_defa4170-0d19-0005-0004-bc88714345d2_Enabled">
    <vt:lpwstr>true</vt:lpwstr>
  </property>
  <property fmtid="{D5CDD505-2E9C-101B-9397-08002B2CF9AE}" pid="12" name="MSIP_Label_defa4170-0d19-0005-0004-bc88714345d2_SetDate">
    <vt:lpwstr>2025-07-14T17:12:03Z</vt:lpwstr>
  </property>
  <property fmtid="{D5CDD505-2E9C-101B-9397-08002B2CF9AE}" pid="13" name="MSIP_Label_defa4170-0d19-0005-0004-bc88714345d2_Method">
    <vt:lpwstr>Standard</vt:lpwstr>
  </property>
  <property fmtid="{D5CDD505-2E9C-101B-9397-08002B2CF9AE}" pid="14" name="MSIP_Label_defa4170-0d19-0005-0004-bc88714345d2_Name">
    <vt:lpwstr>defa4170-0d19-0005-0004-bc88714345d2</vt:lpwstr>
  </property>
  <property fmtid="{D5CDD505-2E9C-101B-9397-08002B2CF9AE}" pid="15" name="MSIP_Label_defa4170-0d19-0005-0004-bc88714345d2_SiteId">
    <vt:lpwstr>daaffc86-de30-4c91-9526-3cc675915463</vt:lpwstr>
  </property>
  <property fmtid="{D5CDD505-2E9C-101B-9397-08002B2CF9AE}" pid="16" name="MSIP_Label_defa4170-0d19-0005-0004-bc88714345d2_ActionId">
    <vt:lpwstr>88284b79-30c8-41bc-9ef9-2c754fa7cae7</vt:lpwstr>
  </property>
  <property fmtid="{D5CDD505-2E9C-101B-9397-08002B2CF9AE}" pid="17" name="MSIP_Label_defa4170-0d19-0005-0004-bc88714345d2_ContentBits">
    <vt:lpwstr>0</vt:lpwstr>
  </property>
  <property fmtid="{D5CDD505-2E9C-101B-9397-08002B2CF9AE}" pid="18" name="MSIP_Label_defa4170-0d19-0005-0004-bc88714345d2_Tag">
    <vt:lpwstr>10, 3, 0, 1</vt:lpwstr>
  </property>
</Properties>
</file>